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8E2A1" w14:textId="6471F1E3" w:rsidR="004479F4" w:rsidRDefault="004479F4" w:rsidP="00757C76">
      <w:pPr>
        <w:jc w:val="center"/>
        <w:rPr>
          <w:rFonts w:ascii="Arial Narrow" w:hAnsi="Arial Narrow"/>
          <w:b/>
          <w:bCs/>
          <w:sz w:val="32"/>
          <w:szCs w:val="32"/>
        </w:rPr>
      </w:pPr>
      <w:r w:rsidRPr="006A2856">
        <w:rPr>
          <w:rFonts w:cstheme="minorHAnsi"/>
          <w:b/>
          <w:bCs/>
          <w:noProof/>
          <w:sz w:val="28"/>
          <w:szCs w:val="28"/>
        </w:rPr>
        <w:drawing>
          <wp:anchor distT="0" distB="0" distL="114300" distR="114300" simplePos="0" relativeHeight="251659264" behindDoc="0" locked="0" layoutInCell="1" allowOverlap="1" wp14:anchorId="02597B91" wp14:editId="61520FEB">
            <wp:simplePos x="0" y="0"/>
            <wp:positionH relativeFrom="margin">
              <wp:align>center</wp:align>
            </wp:positionH>
            <wp:positionV relativeFrom="margin">
              <wp:posOffset>-380356</wp:posOffset>
            </wp:positionV>
            <wp:extent cx="4603750" cy="956945"/>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03750" cy="956945"/>
                    </a:xfrm>
                    <a:prstGeom prst="rect">
                      <a:avLst/>
                    </a:prstGeom>
                    <a:noFill/>
                    <a:ln>
                      <a:noFill/>
                    </a:ln>
                  </pic:spPr>
                </pic:pic>
              </a:graphicData>
            </a:graphic>
            <wp14:sizeRelH relativeFrom="margin">
              <wp14:pctWidth>0</wp14:pctWidth>
            </wp14:sizeRelH>
          </wp:anchor>
        </w:drawing>
      </w:r>
    </w:p>
    <w:p w14:paraId="30BD5D53" w14:textId="77777777" w:rsidR="006C475F" w:rsidRDefault="006C475F" w:rsidP="004479F4">
      <w:pPr>
        <w:spacing w:after="0"/>
        <w:jc w:val="center"/>
        <w:rPr>
          <w:rFonts w:ascii="Arial Black" w:hAnsi="Arial Black"/>
          <w:sz w:val="42"/>
          <w:szCs w:val="42"/>
        </w:rPr>
      </w:pPr>
    </w:p>
    <w:p w14:paraId="43A6A835" w14:textId="09522E0D" w:rsidR="00F74651" w:rsidRDefault="00265D84" w:rsidP="004479F4">
      <w:pPr>
        <w:spacing w:after="0"/>
        <w:jc w:val="center"/>
        <w:rPr>
          <w:rFonts w:ascii="Arial Black" w:hAnsi="Arial Black"/>
          <w:sz w:val="42"/>
          <w:szCs w:val="42"/>
        </w:rPr>
      </w:pPr>
      <w:r w:rsidRPr="004479F4">
        <w:rPr>
          <w:rFonts w:ascii="Arial Black" w:hAnsi="Arial Black"/>
          <w:sz w:val="42"/>
          <w:szCs w:val="42"/>
        </w:rPr>
        <w:t>Bin capacity audit</w:t>
      </w:r>
      <w:r w:rsidR="00F74651">
        <w:rPr>
          <w:rFonts w:ascii="Arial Black" w:hAnsi="Arial Black"/>
          <w:sz w:val="42"/>
          <w:szCs w:val="42"/>
        </w:rPr>
        <w:t xml:space="preserve"> results</w:t>
      </w:r>
    </w:p>
    <w:p w14:paraId="2087D8AE" w14:textId="34EED57A" w:rsidR="004479F4" w:rsidRDefault="00F74651" w:rsidP="00F74651">
      <w:pPr>
        <w:spacing w:after="0"/>
        <w:jc w:val="center"/>
        <w:rPr>
          <w:rFonts w:ascii="Arial Black" w:hAnsi="Arial Black"/>
          <w:sz w:val="42"/>
          <w:szCs w:val="42"/>
        </w:rPr>
      </w:pPr>
      <w:r>
        <w:rPr>
          <w:rFonts w:ascii="Arial Black" w:hAnsi="Arial Black"/>
          <w:sz w:val="42"/>
          <w:szCs w:val="42"/>
        </w:rPr>
        <w:t>October 2023 and January 2024</w:t>
      </w:r>
      <w:r w:rsidR="004479F4">
        <w:rPr>
          <w:rFonts w:ascii="Arial Black" w:hAnsi="Arial Black"/>
          <w:sz w:val="42"/>
          <w:szCs w:val="42"/>
        </w:rPr>
        <w:t xml:space="preserve"> </w:t>
      </w:r>
    </w:p>
    <w:p w14:paraId="48CA8A6C" w14:textId="77777777" w:rsidR="00C209F3" w:rsidRDefault="00C209F3">
      <w:pPr>
        <w:rPr>
          <w:rFonts w:ascii="Arial" w:hAnsi="Arial" w:cs="Arial"/>
          <w:sz w:val="24"/>
          <w:szCs w:val="24"/>
        </w:rPr>
      </w:pPr>
    </w:p>
    <w:p w14:paraId="2F725496" w14:textId="76978FD2" w:rsidR="007C38B3" w:rsidRDefault="00757C76">
      <w:pPr>
        <w:rPr>
          <w:rFonts w:ascii="Arial" w:hAnsi="Arial" w:cs="Arial"/>
          <w:sz w:val="24"/>
          <w:szCs w:val="24"/>
        </w:rPr>
      </w:pPr>
      <w:r w:rsidRPr="00757C76">
        <w:rPr>
          <w:rFonts w:ascii="Arial" w:hAnsi="Arial" w:cs="Arial"/>
          <w:sz w:val="24"/>
          <w:szCs w:val="24"/>
        </w:rPr>
        <w:t xml:space="preserve">During </w:t>
      </w:r>
      <w:r>
        <w:rPr>
          <w:rFonts w:ascii="Arial" w:hAnsi="Arial" w:cs="Arial"/>
          <w:sz w:val="24"/>
          <w:szCs w:val="24"/>
        </w:rPr>
        <w:t>October 2023</w:t>
      </w:r>
      <w:r w:rsidR="007C38B3">
        <w:rPr>
          <w:rFonts w:ascii="Arial" w:hAnsi="Arial" w:cs="Arial"/>
          <w:sz w:val="24"/>
          <w:szCs w:val="24"/>
        </w:rPr>
        <w:t xml:space="preserve"> and January 2024</w:t>
      </w:r>
      <w:r>
        <w:rPr>
          <w:rFonts w:ascii="Arial" w:hAnsi="Arial" w:cs="Arial"/>
          <w:sz w:val="24"/>
          <w:szCs w:val="24"/>
        </w:rPr>
        <w:t xml:space="preserve">, officers from South Oxfordshire and Vale of White Horse District Councils carried out a capacity audit of resident’s residual waste and dry recycling bins. </w:t>
      </w:r>
      <w:r w:rsidR="007C38B3">
        <w:rPr>
          <w:rFonts w:ascii="Arial" w:hAnsi="Arial" w:cs="Arial"/>
          <w:sz w:val="24"/>
          <w:szCs w:val="24"/>
        </w:rPr>
        <w:t xml:space="preserve">The surveys in October were to record </w:t>
      </w:r>
      <w:r w:rsidR="006C475F">
        <w:rPr>
          <w:rFonts w:ascii="Arial" w:hAnsi="Arial" w:cs="Arial"/>
          <w:sz w:val="24"/>
          <w:szCs w:val="24"/>
        </w:rPr>
        <w:t xml:space="preserve">the available </w:t>
      </w:r>
      <w:r w:rsidR="00F96FA8">
        <w:rPr>
          <w:rFonts w:ascii="Arial" w:hAnsi="Arial" w:cs="Arial"/>
          <w:sz w:val="24"/>
          <w:szCs w:val="24"/>
        </w:rPr>
        <w:t xml:space="preserve">capacity </w:t>
      </w:r>
      <w:r w:rsidR="006C475F">
        <w:rPr>
          <w:rFonts w:ascii="Arial" w:hAnsi="Arial" w:cs="Arial"/>
          <w:sz w:val="24"/>
          <w:szCs w:val="24"/>
        </w:rPr>
        <w:t xml:space="preserve">in bins </w:t>
      </w:r>
      <w:r w:rsidR="00F96FA8">
        <w:rPr>
          <w:rFonts w:ascii="Arial" w:hAnsi="Arial" w:cs="Arial"/>
          <w:sz w:val="24"/>
          <w:szCs w:val="24"/>
        </w:rPr>
        <w:t xml:space="preserve">expected for </w:t>
      </w:r>
      <w:proofErr w:type="gramStart"/>
      <w:r w:rsidR="00F96FA8">
        <w:rPr>
          <w:rFonts w:ascii="Arial" w:hAnsi="Arial" w:cs="Arial"/>
          <w:sz w:val="24"/>
          <w:szCs w:val="24"/>
        </w:rPr>
        <w:t>the majority of</w:t>
      </w:r>
      <w:proofErr w:type="gramEnd"/>
      <w:r w:rsidR="00F96FA8">
        <w:rPr>
          <w:rFonts w:ascii="Arial" w:hAnsi="Arial" w:cs="Arial"/>
          <w:sz w:val="24"/>
          <w:szCs w:val="24"/>
        </w:rPr>
        <w:t xml:space="preserve"> the year, whereas the surveys in January record capacity during the busiest weeks. </w:t>
      </w:r>
      <w:r w:rsidR="007C38B3">
        <w:rPr>
          <w:rFonts w:ascii="Arial" w:hAnsi="Arial" w:cs="Arial"/>
          <w:sz w:val="24"/>
          <w:szCs w:val="24"/>
        </w:rPr>
        <w:t>Data collected from the surveys will inform household waste collection services in the future</w:t>
      </w:r>
      <w:r w:rsidR="007C38B3" w:rsidRPr="00821262">
        <w:rPr>
          <w:rFonts w:ascii="Arial" w:hAnsi="Arial" w:cs="Arial"/>
          <w:sz w:val="24"/>
          <w:szCs w:val="24"/>
        </w:rPr>
        <w:t>.</w:t>
      </w:r>
      <w:r w:rsidR="00DD1777" w:rsidRPr="00821262">
        <w:rPr>
          <w:rFonts w:ascii="Arial" w:hAnsi="Arial" w:cs="Arial"/>
          <w:sz w:val="24"/>
          <w:szCs w:val="24"/>
        </w:rPr>
        <w:t xml:space="preserve"> One of the potential changes to waste collection in the future, less frequent collections, would require sufficient ‘bin space’. The amount of space in the average wheeled bin was something the survey provided evidence of.</w:t>
      </w:r>
    </w:p>
    <w:p w14:paraId="6F2D67EE" w14:textId="2C915015" w:rsidR="00757C76" w:rsidRDefault="00757C76">
      <w:pPr>
        <w:rPr>
          <w:rFonts w:ascii="Arial" w:hAnsi="Arial" w:cs="Arial"/>
          <w:sz w:val="24"/>
          <w:szCs w:val="24"/>
        </w:rPr>
      </w:pPr>
      <w:r>
        <w:rPr>
          <w:rFonts w:ascii="Arial" w:hAnsi="Arial" w:cs="Arial"/>
          <w:sz w:val="24"/>
          <w:szCs w:val="24"/>
        </w:rPr>
        <w:t>A total of 21 roads were surveyed in 11 towns and villages</w:t>
      </w:r>
      <w:r w:rsidR="00F96FA8">
        <w:rPr>
          <w:rFonts w:ascii="Arial" w:hAnsi="Arial" w:cs="Arial"/>
          <w:sz w:val="24"/>
          <w:szCs w:val="24"/>
        </w:rPr>
        <w:t>,</w:t>
      </w:r>
      <w:r>
        <w:rPr>
          <w:rFonts w:ascii="Arial" w:hAnsi="Arial" w:cs="Arial"/>
          <w:sz w:val="24"/>
          <w:szCs w:val="24"/>
        </w:rPr>
        <w:t xml:space="preserve"> with each road visited on collect</w:t>
      </w:r>
      <w:r w:rsidR="003665A1">
        <w:rPr>
          <w:rFonts w:ascii="Arial" w:hAnsi="Arial" w:cs="Arial"/>
          <w:sz w:val="24"/>
          <w:szCs w:val="24"/>
        </w:rPr>
        <w:t>ion</w:t>
      </w:r>
      <w:r>
        <w:rPr>
          <w:rFonts w:ascii="Arial" w:hAnsi="Arial" w:cs="Arial"/>
          <w:sz w:val="24"/>
          <w:szCs w:val="24"/>
        </w:rPr>
        <w:t xml:space="preserve"> day</w:t>
      </w:r>
      <w:r w:rsidR="007C38B3">
        <w:rPr>
          <w:rFonts w:ascii="Arial" w:hAnsi="Arial" w:cs="Arial"/>
          <w:sz w:val="24"/>
          <w:szCs w:val="24"/>
        </w:rPr>
        <w:t>s</w:t>
      </w:r>
      <w:r>
        <w:rPr>
          <w:rFonts w:ascii="Arial" w:hAnsi="Arial" w:cs="Arial"/>
          <w:sz w:val="24"/>
          <w:szCs w:val="24"/>
        </w:rPr>
        <w:t xml:space="preserve"> </w:t>
      </w:r>
      <w:r w:rsidR="007C38B3">
        <w:rPr>
          <w:rFonts w:ascii="Arial" w:hAnsi="Arial" w:cs="Arial"/>
          <w:sz w:val="24"/>
          <w:szCs w:val="24"/>
        </w:rPr>
        <w:t xml:space="preserve">over a </w:t>
      </w:r>
      <w:proofErr w:type="gramStart"/>
      <w:r w:rsidR="007C38B3">
        <w:rPr>
          <w:rFonts w:ascii="Arial" w:hAnsi="Arial" w:cs="Arial"/>
          <w:sz w:val="24"/>
          <w:szCs w:val="24"/>
        </w:rPr>
        <w:t>two week</w:t>
      </w:r>
      <w:proofErr w:type="gramEnd"/>
      <w:r w:rsidR="007C38B3">
        <w:rPr>
          <w:rFonts w:ascii="Arial" w:hAnsi="Arial" w:cs="Arial"/>
          <w:sz w:val="24"/>
          <w:szCs w:val="24"/>
        </w:rPr>
        <w:t xml:space="preserve"> period</w:t>
      </w:r>
      <w:r w:rsidR="00821262">
        <w:rPr>
          <w:rFonts w:ascii="Arial" w:hAnsi="Arial" w:cs="Arial"/>
          <w:sz w:val="24"/>
          <w:szCs w:val="24"/>
        </w:rPr>
        <w:t xml:space="preserve">. </w:t>
      </w:r>
    </w:p>
    <w:p w14:paraId="69661AF4" w14:textId="77777777" w:rsidR="006C475F" w:rsidRPr="00813F84" w:rsidRDefault="006C475F" w:rsidP="00821262">
      <w:pPr>
        <w:spacing w:before="480"/>
        <w:rPr>
          <w:rFonts w:ascii="Arial Narrow" w:hAnsi="Arial Narrow" w:cs="Arial"/>
          <w:b/>
          <w:bCs/>
          <w:sz w:val="36"/>
          <w:szCs w:val="36"/>
        </w:rPr>
      </w:pPr>
      <w:r w:rsidRPr="00813F84">
        <w:rPr>
          <w:rFonts w:ascii="Arial Narrow" w:hAnsi="Arial Narrow" w:cs="Arial"/>
          <w:b/>
          <w:bCs/>
          <w:sz w:val="36"/>
          <w:szCs w:val="36"/>
        </w:rPr>
        <w:t>Summary</w:t>
      </w:r>
    </w:p>
    <w:p w14:paraId="0D2500F9" w14:textId="77777777" w:rsidR="006C475F" w:rsidRDefault="006C475F" w:rsidP="006C475F">
      <w:pPr>
        <w:rPr>
          <w:rFonts w:ascii="Arial" w:hAnsi="Arial" w:cs="Arial"/>
          <w:sz w:val="24"/>
          <w:szCs w:val="24"/>
        </w:rPr>
      </w:pPr>
      <w:r>
        <w:rPr>
          <w:rFonts w:ascii="Arial" w:hAnsi="Arial" w:cs="Arial"/>
          <w:sz w:val="24"/>
          <w:szCs w:val="24"/>
        </w:rPr>
        <w:t xml:space="preserve">In both October and January, the dry recycling bins were fuller and had less available capacity than the residual waste bins. </w:t>
      </w:r>
    </w:p>
    <w:p w14:paraId="5FA30D5F" w14:textId="77777777" w:rsidR="006C475F" w:rsidRPr="008304B4" w:rsidRDefault="006C475F" w:rsidP="006C475F">
      <w:pPr>
        <w:rPr>
          <w:rFonts w:ascii="Arial" w:hAnsi="Arial" w:cs="Arial"/>
          <w:sz w:val="24"/>
          <w:szCs w:val="24"/>
        </w:rPr>
      </w:pPr>
      <w:r w:rsidRPr="008304B4">
        <w:rPr>
          <w:rFonts w:ascii="Arial" w:hAnsi="Arial" w:cs="Arial"/>
          <w:sz w:val="24"/>
          <w:szCs w:val="24"/>
        </w:rPr>
        <w:t>Residual waste bins had similar levels of available capacity in October and January.</w:t>
      </w:r>
    </w:p>
    <w:p w14:paraId="05F67B4B" w14:textId="5724745F" w:rsidR="006C475F" w:rsidRPr="00757C76" w:rsidRDefault="006C475F">
      <w:pPr>
        <w:rPr>
          <w:rFonts w:ascii="Arial" w:hAnsi="Arial" w:cs="Arial"/>
          <w:sz w:val="24"/>
          <w:szCs w:val="24"/>
        </w:rPr>
      </w:pPr>
      <w:r w:rsidRPr="0001043E">
        <w:rPr>
          <w:rFonts w:ascii="Arial" w:hAnsi="Arial" w:cs="Arial"/>
          <w:sz w:val="24"/>
          <w:szCs w:val="24"/>
        </w:rPr>
        <w:t>Dry recycling bins ha</w:t>
      </w:r>
      <w:r w:rsidR="0001043E" w:rsidRPr="0001043E">
        <w:rPr>
          <w:rFonts w:ascii="Arial" w:hAnsi="Arial" w:cs="Arial"/>
          <w:sz w:val="24"/>
          <w:szCs w:val="24"/>
        </w:rPr>
        <w:t>d less</w:t>
      </w:r>
      <w:r w:rsidRPr="0001043E">
        <w:rPr>
          <w:rFonts w:ascii="Arial" w:hAnsi="Arial" w:cs="Arial"/>
          <w:sz w:val="24"/>
          <w:szCs w:val="24"/>
        </w:rPr>
        <w:t xml:space="preserve"> availabl</w:t>
      </w:r>
      <w:r w:rsidR="0001043E" w:rsidRPr="0001043E">
        <w:rPr>
          <w:rFonts w:ascii="Arial" w:hAnsi="Arial" w:cs="Arial"/>
          <w:sz w:val="24"/>
          <w:szCs w:val="24"/>
        </w:rPr>
        <w:t>e</w:t>
      </w:r>
      <w:r w:rsidRPr="0001043E">
        <w:rPr>
          <w:rFonts w:ascii="Arial" w:hAnsi="Arial" w:cs="Arial"/>
          <w:sz w:val="24"/>
          <w:szCs w:val="24"/>
        </w:rPr>
        <w:t xml:space="preserve"> capacity in </w:t>
      </w:r>
      <w:r w:rsidR="0001043E" w:rsidRPr="0001043E">
        <w:rPr>
          <w:rFonts w:ascii="Arial" w:hAnsi="Arial" w:cs="Arial"/>
          <w:sz w:val="24"/>
          <w:szCs w:val="24"/>
        </w:rPr>
        <w:t>January</w:t>
      </w:r>
      <w:r w:rsidR="0001043E">
        <w:rPr>
          <w:rFonts w:ascii="Arial" w:hAnsi="Arial" w:cs="Arial"/>
          <w:sz w:val="24"/>
          <w:szCs w:val="24"/>
        </w:rPr>
        <w:t xml:space="preserve"> than in October</w:t>
      </w:r>
      <w:r w:rsidR="001614DB">
        <w:rPr>
          <w:rFonts w:ascii="Arial" w:hAnsi="Arial" w:cs="Arial"/>
          <w:sz w:val="24"/>
          <w:szCs w:val="24"/>
        </w:rPr>
        <w:t xml:space="preserve">, especially in the </w:t>
      </w:r>
      <w:r w:rsidR="00DD1777" w:rsidRPr="00821262">
        <w:rPr>
          <w:rFonts w:ascii="Arial" w:hAnsi="Arial" w:cs="Arial"/>
          <w:sz w:val="24"/>
          <w:szCs w:val="24"/>
        </w:rPr>
        <w:t xml:space="preserve">first week of the January </w:t>
      </w:r>
      <w:r w:rsidR="001614DB" w:rsidRPr="00821262">
        <w:rPr>
          <w:rFonts w:ascii="Arial" w:hAnsi="Arial" w:cs="Arial"/>
          <w:sz w:val="24"/>
          <w:szCs w:val="24"/>
        </w:rPr>
        <w:t>survey</w:t>
      </w:r>
      <w:r w:rsidR="00DD1777" w:rsidRPr="00821262">
        <w:rPr>
          <w:rFonts w:ascii="Arial" w:hAnsi="Arial" w:cs="Arial"/>
          <w:sz w:val="24"/>
          <w:szCs w:val="24"/>
        </w:rPr>
        <w:t>.</w:t>
      </w:r>
      <w:r w:rsidR="001614DB">
        <w:rPr>
          <w:rFonts w:ascii="Arial" w:hAnsi="Arial" w:cs="Arial"/>
          <w:sz w:val="24"/>
          <w:szCs w:val="24"/>
        </w:rPr>
        <w:t xml:space="preserve"> </w:t>
      </w:r>
    </w:p>
    <w:p w14:paraId="331ED55E" w14:textId="784AEA6F" w:rsidR="00265D84" w:rsidRPr="00813F84" w:rsidRDefault="00265D84" w:rsidP="00821262">
      <w:pPr>
        <w:spacing w:before="480"/>
        <w:rPr>
          <w:rFonts w:ascii="Arial Narrow" w:hAnsi="Arial Narrow" w:cs="Arial"/>
          <w:b/>
          <w:bCs/>
          <w:sz w:val="36"/>
          <w:szCs w:val="36"/>
        </w:rPr>
      </w:pPr>
      <w:r w:rsidRPr="00813F84">
        <w:rPr>
          <w:rFonts w:ascii="Arial Narrow" w:hAnsi="Arial Narrow" w:cs="Arial"/>
          <w:b/>
          <w:bCs/>
          <w:sz w:val="36"/>
          <w:szCs w:val="36"/>
        </w:rPr>
        <w:t>Residual</w:t>
      </w:r>
    </w:p>
    <w:p w14:paraId="0BB00928" w14:textId="64DE71B4" w:rsidR="00270A6B" w:rsidRDefault="006C475F">
      <w:pPr>
        <w:rPr>
          <w:rFonts w:ascii="Arial" w:hAnsi="Arial" w:cs="Arial"/>
          <w:sz w:val="24"/>
          <w:szCs w:val="24"/>
        </w:rPr>
      </w:pPr>
      <w:r>
        <w:rPr>
          <w:rFonts w:ascii="Arial" w:hAnsi="Arial" w:cs="Arial"/>
          <w:sz w:val="24"/>
          <w:szCs w:val="24"/>
        </w:rPr>
        <w:t>For the residual waste bins, the</w:t>
      </w:r>
      <w:r w:rsidR="00270A6B">
        <w:rPr>
          <w:rFonts w:ascii="Arial" w:hAnsi="Arial" w:cs="Arial"/>
          <w:sz w:val="24"/>
          <w:szCs w:val="24"/>
        </w:rPr>
        <w:t xml:space="preserve"> </w:t>
      </w:r>
      <w:r w:rsidR="00B7111E">
        <w:rPr>
          <w:rFonts w:ascii="Arial" w:hAnsi="Arial" w:cs="Arial"/>
          <w:sz w:val="24"/>
          <w:szCs w:val="24"/>
        </w:rPr>
        <w:t xml:space="preserve">October and January </w:t>
      </w:r>
      <w:r w:rsidR="00270A6B">
        <w:rPr>
          <w:rFonts w:ascii="Arial" w:hAnsi="Arial" w:cs="Arial"/>
          <w:sz w:val="24"/>
          <w:szCs w:val="24"/>
        </w:rPr>
        <w:t>surveys yielded very similar results</w:t>
      </w:r>
      <w:r w:rsidR="00270A6B" w:rsidRPr="008304B4">
        <w:rPr>
          <w:rFonts w:ascii="Arial" w:hAnsi="Arial" w:cs="Arial"/>
          <w:sz w:val="24"/>
          <w:szCs w:val="24"/>
        </w:rPr>
        <w:t xml:space="preserve">, with </w:t>
      </w:r>
      <w:r w:rsidR="008304B4" w:rsidRPr="008304B4">
        <w:rPr>
          <w:rFonts w:ascii="Arial" w:hAnsi="Arial" w:cs="Arial"/>
          <w:sz w:val="24"/>
          <w:szCs w:val="24"/>
        </w:rPr>
        <w:t>no</w:t>
      </w:r>
      <w:r w:rsidR="008304B4">
        <w:rPr>
          <w:rFonts w:ascii="Arial" w:hAnsi="Arial" w:cs="Arial"/>
          <w:sz w:val="24"/>
          <w:szCs w:val="24"/>
        </w:rPr>
        <w:t xml:space="preserve"> significant differences </w:t>
      </w:r>
      <w:r w:rsidR="00B7111E">
        <w:rPr>
          <w:rFonts w:ascii="Arial" w:hAnsi="Arial" w:cs="Arial"/>
          <w:sz w:val="24"/>
          <w:szCs w:val="24"/>
        </w:rPr>
        <w:t>in available capacity.</w:t>
      </w:r>
      <w:r w:rsidR="008304B4">
        <w:rPr>
          <w:rFonts w:ascii="Arial" w:hAnsi="Arial" w:cs="Arial"/>
          <w:sz w:val="24"/>
          <w:szCs w:val="24"/>
        </w:rPr>
        <w:t xml:space="preserve"> </w:t>
      </w:r>
    </w:p>
    <w:p w14:paraId="450347E3" w14:textId="3719298D" w:rsidR="007823FA" w:rsidRDefault="007823FA">
      <w:pPr>
        <w:rPr>
          <w:rFonts w:ascii="Arial" w:hAnsi="Arial" w:cs="Arial"/>
          <w:sz w:val="24"/>
          <w:szCs w:val="24"/>
        </w:rPr>
      </w:pPr>
      <w:r>
        <w:rPr>
          <w:rFonts w:ascii="Arial" w:hAnsi="Arial" w:cs="Arial"/>
          <w:sz w:val="24"/>
          <w:szCs w:val="24"/>
        </w:rPr>
        <w:t>These results are presented in Table 1, and Figures 1</w:t>
      </w:r>
      <w:r w:rsidR="0001043E">
        <w:rPr>
          <w:rFonts w:ascii="Arial" w:hAnsi="Arial" w:cs="Arial"/>
          <w:sz w:val="24"/>
          <w:szCs w:val="24"/>
        </w:rPr>
        <w:t>, 2</w:t>
      </w:r>
      <w:r>
        <w:rPr>
          <w:rFonts w:ascii="Arial" w:hAnsi="Arial" w:cs="Arial"/>
          <w:sz w:val="24"/>
          <w:szCs w:val="24"/>
        </w:rPr>
        <w:t xml:space="preserve"> and </w:t>
      </w:r>
      <w:r w:rsidR="0001043E">
        <w:rPr>
          <w:rFonts w:ascii="Arial" w:hAnsi="Arial" w:cs="Arial"/>
          <w:sz w:val="24"/>
          <w:szCs w:val="24"/>
        </w:rPr>
        <w:t>3</w:t>
      </w:r>
      <w:r>
        <w:rPr>
          <w:rFonts w:ascii="Arial" w:hAnsi="Arial" w:cs="Arial"/>
          <w:sz w:val="24"/>
          <w:szCs w:val="24"/>
        </w:rPr>
        <w:t xml:space="preserve"> below.</w:t>
      </w:r>
    </w:p>
    <w:p w14:paraId="5B5BE335" w14:textId="56D4CADA" w:rsidR="0001043E" w:rsidRPr="0001043E" w:rsidRDefault="0001043E">
      <w:pPr>
        <w:rPr>
          <w:rFonts w:ascii="Arial Black" w:hAnsi="Arial Black" w:cs="Arial"/>
          <w:sz w:val="24"/>
          <w:szCs w:val="24"/>
        </w:rPr>
      </w:pPr>
      <w:r w:rsidRPr="0001043E">
        <w:rPr>
          <w:rFonts w:ascii="Arial Black" w:hAnsi="Arial Black" w:cs="Arial"/>
          <w:sz w:val="24"/>
          <w:szCs w:val="24"/>
        </w:rPr>
        <w:t>Table 1: Residual results</w:t>
      </w:r>
    </w:p>
    <w:tbl>
      <w:tblPr>
        <w:tblStyle w:val="TableGrid"/>
        <w:tblW w:w="0" w:type="auto"/>
        <w:tblLook w:val="04A0" w:firstRow="1" w:lastRow="0" w:firstColumn="1" w:lastColumn="0" w:noHBand="0" w:noVBand="1"/>
      </w:tblPr>
      <w:tblGrid>
        <w:gridCol w:w="3681"/>
        <w:gridCol w:w="1843"/>
        <w:gridCol w:w="1842"/>
        <w:gridCol w:w="1650"/>
      </w:tblGrid>
      <w:tr w:rsidR="007823FA" w14:paraId="5E52FF73" w14:textId="3D7D96B9" w:rsidTr="007823FA">
        <w:tc>
          <w:tcPr>
            <w:tcW w:w="3681" w:type="dxa"/>
          </w:tcPr>
          <w:p w14:paraId="6172025F" w14:textId="43D26AA7" w:rsidR="007823FA" w:rsidRDefault="007823FA" w:rsidP="007823FA">
            <w:pPr>
              <w:rPr>
                <w:rFonts w:ascii="Arial" w:hAnsi="Arial" w:cs="Arial"/>
                <w:sz w:val="24"/>
                <w:szCs w:val="24"/>
              </w:rPr>
            </w:pPr>
          </w:p>
        </w:tc>
        <w:tc>
          <w:tcPr>
            <w:tcW w:w="1843" w:type="dxa"/>
          </w:tcPr>
          <w:p w14:paraId="0E51843E" w14:textId="77777777" w:rsidR="007823FA" w:rsidRPr="007823FA" w:rsidRDefault="007823FA" w:rsidP="007823FA">
            <w:pPr>
              <w:rPr>
                <w:rFonts w:ascii="Arial" w:hAnsi="Arial" w:cs="Arial"/>
                <w:b/>
                <w:bCs/>
                <w:sz w:val="24"/>
                <w:szCs w:val="24"/>
              </w:rPr>
            </w:pPr>
            <w:r w:rsidRPr="007823FA">
              <w:rPr>
                <w:rFonts w:ascii="Arial" w:hAnsi="Arial" w:cs="Arial"/>
                <w:b/>
                <w:bCs/>
                <w:sz w:val="24"/>
                <w:szCs w:val="24"/>
              </w:rPr>
              <w:t>October</w:t>
            </w:r>
          </w:p>
          <w:p w14:paraId="6DD1E0E8" w14:textId="684AEE8D" w:rsidR="007823FA" w:rsidRDefault="007823FA" w:rsidP="007823FA">
            <w:pPr>
              <w:rPr>
                <w:rFonts w:ascii="Arial" w:hAnsi="Arial" w:cs="Arial"/>
                <w:sz w:val="24"/>
                <w:szCs w:val="24"/>
              </w:rPr>
            </w:pPr>
            <w:r w:rsidRPr="007823FA">
              <w:rPr>
                <w:rFonts w:ascii="Arial" w:hAnsi="Arial" w:cs="Arial"/>
                <w:b/>
                <w:bCs/>
                <w:sz w:val="24"/>
                <w:szCs w:val="24"/>
              </w:rPr>
              <w:t>Both weeks</w:t>
            </w:r>
          </w:p>
        </w:tc>
        <w:tc>
          <w:tcPr>
            <w:tcW w:w="1842" w:type="dxa"/>
          </w:tcPr>
          <w:p w14:paraId="4AAF87E7" w14:textId="77777777" w:rsidR="007823FA" w:rsidRPr="007823FA" w:rsidRDefault="007823FA" w:rsidP="007823FA">
            <w:pPr>
              <w:rPr>
                <w:rFonts w:ascii="Arial" w:hAnsi="Arial" w:cs="Arial"/>
                <w:b/>
                <w:bCs/>
                <w:sz w:val="24"/>
                <w:szCs w:val="24"/>
              </w:rPr>
            </w:pPr>
            <w:r w:rsidRPr="007823FA">
              <w:rPr>
                <w:rFonts w:ascii="Arial" w:hAnsi="Arial" w:cs="Arial"/>
                <w:b/>
                <w:bCs/>
                <w:sz w:val="24"/>
                <w:szCs w:val="24"/>
              </w:rPr>
              <w:t>January</w:t>
            </w:r>
          </w:p>
          <w:p w14:paraId="27AE21CA" w14:textId="4AFD8C46" w:rsidR="007823FA" w:rsidRDefault="007823FA" w:rsidP="007823FA">
            <w:pPr>
              <w:rPr>
                <w:rFonts w:ascii="Arial" w:hAnsi="Arial" w:cs="Arial"/>
                <w:sz w:val="24"/>
                <w:szCs w:val="24"/>
              </w:rPr>
            </w:pPr>
            <w:r w:rsidRPr="007823FA">
              <w:rPr>
                <w:rFonts w:ascii="Arial" w:hAnsi="Arial" w:cs="Arial"/>
                <w:b/>
                <w:bCs/>
                <w:sz w:val="24"/>
                <w:szCs w:val="24"/>
              </w:rPr>
              <w:t>Both weeks</w:t>
            </w:r>
          </w:p>
        </w:tc>
        <w:tc>
          <w:tcPr>
            <w:tcW w:w="1650" w:type="dxa"/>
          </w:tcPr>
          <w:p w14:paraId="6E15F94E" w14:textId="77777777" w:rsidR="007823FA" w:rsidRPr="007823FA" w:rsidRDefault="007823FA" w:rsidP="007823FA">
            <w:pPr>
              <w:rPr>
                <w:rFonts w:ascii="Arial" w:hAnsi="Arial" w:cs="Arial"/>
                <w:b/>
                <w:bCs/>
                <w:sz w:val="24"/>
                <w:szCs w:val="24"/>
              </w:rPr>
            </w:pPr>
            <w:r w:rsidRPr="007823FA">
              <w:rPr>
                <w:rFonts w:ascii="Arial" w:hAnsi="Arial" w:cs="Arial"/>
                <w:b/>
                <w:bCs/>
                <w:sz w:val="24"/>
                <w:szCs w:val="24"/>
              </w:rPr>
              <w:t xml:space="preserve">January </w:t>
            </w:r>
          </w:p>
          <w:p w14:paraId="160BFC72" w14:textId="5C0A2324" w:rsidR="007823FA" w:rsidRDefault="007823FA" w:rsidP="007823FA">
            <w:pPr>
              <w:rPr>
                <w:rFonts w:ascii="Arial" w:hAnsi="Arial" w:cs="Arial"/>
                <w:sz w:val="24"/>
                <w:szCs w:val="24"/>
              </w:rPr>
            </w:pPr>
            <w:r w:rsidRPr="007823FA">
              <w:rPr>
                <w:rFonts w:ascii="Arial" w:hAnsi="Arial" w:cs="Arial"/>
                <w:b/>
                <w:bCs/>
                <w:sz w:val="24"/>
                <w:szCs w:val="24"/>
              </w:rPr>
              <w:t>Week 1 only</w:t>
            </w:r>
          </w:p>
        </w:tc>
      </w:tr>
      <w:tr w:rsidR="007823FA" w14:paraId="1CE63A8B" w14:textId="64E04E98" w:rsidTr="007823FA">
        <w:tc>
          <w:tcPr>
            <w:tcW w:w="3681" w:type="dxa"/>
          </w:tcPr>
          <w:p w14:paraId="311EBA0B" w14:textId="6B1F4428" w:rsidR="007823FA" w:rsidRDefault="007823FA">
            <w:pPr>
              <w:rPr>
                <w:rFonts w:ascii="Arial" w:hAnsi="Arial" w:cs="Arial"/>
                <w:sz w:val="24"/>
                <w:szCs w:val="24"/>
              </w:rPr>
            </w:pPr>
            <w:r>
              <w:rPr>
                <w:rFonts w:ascii="Arial" w:hAnsi="Arial" w:cs="Arial"/>
                <w:sz w:val="24"/>
                <w:szCs w:val="24"/>
              </w:rPr>
              <w:t>100% or over 100% full</w:t>
            </w:r>
            <w:r w:rsidR="0001043E">
              <w:rPr>
                <w:rFonts w:ascii="Arial" w:hAnsi="Arial" w:cs="Arial"/>
                <w:sz w:val="24"/>
                <w:szCs w:val="24"/>
              </w:rPr>
              <w:t>*</w:t>
            </w:r>
          </w:p>
        </w:tc>
        <w:tc>
          <w:tcPr>
            <w:tcW w:w="1843" w:type="dxa"/>
          </w:tcPr>
          <w:p w14:paraId="02D3F49E" w14:textId="15B061E3" w:rsidR="007823FA" w:rsidRDefault="007823FA">
            <w:pPr>
              <w:rPr>
                <w:rFonts w:ascii="Arial" w:hAnsi="Arial" w:cs="Arial"/>
                <w:sz w:val="24"/>
                <w:szCs w:val="24"/>
              </w:rPr>
            </w:pPr>
            <w:r>
              <w:rPr>
                <w:rFonts w:ascii="Arial" w:hAnsi="Arial" w:cs="Arial"/>
                <w:sz w:val="24"/>
                <w:szCs w:val="24"/>
              </w:rPr>
              <w:t>29%</w:t>
            </w:r>
          </w:p>
        </w:tc>
        <w:tc>
          <w:tcPr>
            <w:tcW w:w="1842" w:type="dxa"/>
          </w:tcPr>
          <w:p w14:paraId="185C02DB" w14:textId="1CC87D19" w:rsidR="007823FA" w:rsidRDefault="007823FA">
            <w:pPr>
              <w:rPr>
                <w:rFonts w:ascii="Arial" w:hAnsi="Arial" w:cs="Arial"/>
                <w:sz w:val="24"/>
                <w:szCs w:val="24"/>
              </w:rPr>
            </w:pPr>
            <w:r>
              <w:rPr>
                <w:rFonts w:ascii="Arial" w:hAnsi="Arial" w:cs="Arial"/>
                <w:sz w:val="24"/>
                <w:szCs w:val="24"/>
              </w:rPr>
              <w:t>29%</w:t>
            </w:r>
          </w:p>
        </w:tc>
        <w:tc>
          <w:tcPr>
            <w:tcW w:w="1650" w:type="dxa"/>
          </w:tcPr>
          <w:p w14:paraId="0C340B5E" w14:textId="795B2634" w:rsidR="007823FA" w:rsidRDefault="007823FA">
            <w:pPr>
              <w:rPr>
                <w:rFonts w:ascii="Arial" w:hAnsi="Arial" w:cs="Arial"/>
                <w:sz w:val="24"/>
                <w:szCs w:val="24"/>
              </w:rPr>
            </w:pPr>
            <w:r>
              <w:rPr>
                <w:rFonts w:ascii="Arial" w:hAnsi="Arial" w:cs="Arial"/>
                <w:sz w:val="24"/>
                <w:szCs w:val="24"/>
              </w:rPr>
              <w:t>29%</w:t>
            </w:r>
          </w:p>
        </w:tc>
      </w:tr>
      <w:tr w:rsidR="007823FA" w14:paraId="001C1829" w14:textId="43A4C913" w:rsidTr="007823FA">
        <w:tc>
          <w:tcPr>
            <w:tcW w:w="3681" w:type="dxa"/>
          </w:tcPr>
          <w:p w14:paraId="4760ACB4" w14:textId="684B6D1A" w:rsidR="007823FA" w:rsidRDefault="007823FA">
            <w:pPr>
              <w:rPr>
                <w:rFonts w:ascii="Arial" w:hAnsi="Arial" w:cs="Arial"/>
                <w:sz w:val="24"/>
                <w:szCs w:val="24"/>
              </w:rPr>
            </w:pPr>
            <w:r>
              <w:rPr>
                <w:rFonts w:ascii="Arial" w:hAnsi="Arial" w:cs="Arial"/>
                <w:sz w:val="24"/>
                <w:szCs w:val="24"/>
              </w:rPr>
              <w:t>50% or less full</w:t>
            </w:r>
          </w:p>
        </w:tc>
        <w:tc>
          <w:tcPr>
            <w:tcW w:w="1843" w:type="dxa"/>
          </w:tcPr>
          <w:p w14:paraId="62CE56CC" w14:textId="6BACDA35" w:rsidR="007823FA" w:rsidRDefault="007823FA">
            <w:pPr>
              <w:rPr>
                <w:rFonts w:ascii="Arial" w:hAnsi="Arial" w:cs="Arial"/>
                <w:sz w:val="24"/>
                <w:szCs w:val="24"/>
              </w:rPr>
            </w:pPr>
            <w:r>
              <w:rPr>
                <w:rFonts w:ascii="Arial" w:hAnsi="Arial" w:cs="Arial"/>
                <w:sz w:val="24"/>
                <w:szCs w:val="24"/>
              </w:rPr>
              <w:t>31%</w:t>
            </w:r>
          </w:p>
        </w:tc>
        <w:tc>
          <w:tcPr>
            <w:tcW w:w="1842" w:type="dxa"/>
          </w:tcPr>
          <w:p w14:paraId="20E4AF0C" w14:textId="7D7BDB96" w:rsidR="007823FA" w:rsidRDefault="007823FA">
            <w:pPr>
              <w:rPr>
                <w:rFonts w:ascii="Arial" w:hAnsi="Arial" w:cs="Arial"/>
                <w:sz w:val="24"/>
                <w:szCs w:val="24"/>
              </w:rPr>
            </w:pPr>
            <w:r>
              <w:rPr>
                <w:rFonts w:ascii="Arial" w:hAnsi="Arial" w:cs="Arial"/>
                <w:sz w:val="24"/>
                <w:szCs w:val="24"/>
              </w:rPr>
              <w:t>29%</w:t>
            </w:r>
          </w:p>
        </w:tc>
        <w:tc>
          <w:tcPr>
            <w:tcW w:w="1650" w:type="dxa"/>
          </w:tcPr>
          <w:p w14:paraId="23C2B306" w14:textId="1C105D54" w:rsidR="007823FA" w:rsidRDefault="007823FA">
            <w:pPr>
              <w:rPr>
                <w:rFonts w:ascii="Arial" w:hAnsi="Arial" w:cs="Arial"/>
                <w:sz w:val="24"/>
                <w:szCs w:val="24"/>
              </w:rPr>
            </w:pPr>
            <w:r>
              <w:rPr>
                <w:rFonts w:ascii="Arial" w:hAnsi="Arial" w:cs="Arial"/>
                <w:sz w:val="24"/>
                <w:szCs w:val="24"/>
              </w:rPr>
              <w:t>28%</w:t>
            </w:r>
          </w:p>
        </w:tc>
      </w:tr>
      <w:tr w:rsidR="007823FA" w14:paraId="3B140511" w14:textId="325985B0" w:rsidTr="007823FA">
        <w:tc>
          <w:tcPr>
            <w:tcW w:w="3681" w:type="dxa"/>
          </w:tcPr>
          <w:p w14:paraId="01D1665C" w14:textId="2FABCC6D" w:rsidR="007823FA" w:rsidRDefault="007823FA">
            <w:pPr>
              <w:rPr>
                <w:rFonts w:ascii="Arial" w:hAnsi="Arial" w:cs="Arial"/>
                <w:sz w:val="24"/>
                <w:szCs w:val="24"/>
              </w:rPr>
            </w:pPr>
            <w:r>
              <w:rPr>
                <w:rFonts w:ascii="Arial" w:hAnsi="Arial" w:cs="Arial"/>
                <w:sz w:val="24"/>
                <w:szCs w:val="24"/>
              </w:rPr>
              <w:t>Average space used in bins presented</w:t>
            </w:r>
          </w:p>
        </w:tc>
        <w:tc>
          <w:tcPr>
            <w:tcW w:w="1843" w:type="dxa"/>
          </w:tcPr>
          <w:p w14:paraId="59509AEE" w14:textId="549D8C9F" w:rsidR="007823FA" w:rsidRDefault="007823FA">
            <w:pPr>
              <w:rPr>
                <w:rFonts w:ascii="Arial" w:hAnsi="Arial" w:cs="Arial"/>
                <w:sz w:val="24"/>
                <w:szCs w:val="24"/>
              </w:rPr>
            </w:pPr>
            <w:r>
              <w:rPr>
                <w:rFonts w:ascii="Arial" w:hAnsi="Arial" w:cs="Arial"/>
                <w:sz w:val="24"/>
                <w:szCs w:val="24"/>
              </w:rPr>
              <w:t>69%</w:t>
            </w:r>
          </w:p>
        </w:tc>
        <w:tc>
          <w:tcPr>
            <w:tcW w:w="1842" w:type="dxa"/>
          </w:tcPr>
          <w:p w14:paraId="04548F8F" w14:textId="4E6BEA2A" w:rsidR="007823FA" w:rsidRDefault="007823FA">
            <w:pPr>
              <w:rPr>
                <w:rFonts w:ascii="Arial" w:hAnsi="Arial" w:cs="Arial"/>
                <w:sz w:val="24"/>
                <w:szCs w:val="24"/>
              </w:rPr>
            </w:pPr>
            <w:r>
              <w:rPr>
                <w:rFonts w:ascii="Arial" w:hAnsi="Arial" w:cs="Arial"/>
                <w:sz w:val="24"/>
                <w:szCs w:val="24"/>
              </w:rPr>
              <w:t>71%</w:t>
            </w:r>
          </w:p>
        </w:tc>
        <w:tc>
          <w:tcPr>
            <w:tcW w:w="1650" w:type="dxa"/>
          </w:tcPr>
          <w:p w14:paraId="2F6A8250" w14:textId="00696E8F" w:rsidR="007823FA" w:rsidRDefault="007823FA">
            <w:pPr>
              <w:rPr>
                <w:rFonts w:ascii="Arial" w:hAnsi="Arial" w:cs="Arial"/>
                <w:sz w:val="24"/>
                <w:szCs w:val="24"/>
              </w:rPr>
            </w:pPr>
            <w:r>
              <w:rPr>
                <w:rFonts w:ascii="Arial" w:hAnsi="Arial" w:cs="Arial"/>
                <w:sz w:val="24"/>
                <w:szCs w:val="24"/>
              </w:rPr>
              <w:t>71%</w:t>
            </w:r>
          </w:p>
        </w:tc>
      </w:tr>
    </w:tbl>
    <w:p w14:paraId="27FAF87A" w14:textId="7120982B" w:rsidR="00652B71" w:rsidRDefault="00821262" w:rsidP="00821262">
      <w:pPr>
        <w:jc w:val="center"/>
        <w:rPr>
          <w:rFonts w:ascii="Arial" w:hAnsi="Arial" w:cs="Arial"/>
          <w:sz w:val="24"/>
          <w:szCs w:val="24"/>
        </w:rPr>
      </w:pPr>
      <w:r>
        <w:rPr>
          <w:noProof/>
        </w:rPr>
        <w:lastRenderedPageBreak/>
        <w:drawing>
          <wp:inline distT="0" distB="0" distL="0" distR="0" wp14:anchorId="0A7AA70E" wp14:editId="1E677A43">
            <wp:extent cx="4320000" cy="2520000"/>
            <wp:effectExtent l="0" t="0" r="4445" b="13970"/>
            <wp:docPr id="1" name="Chart 1">
              <a:extLst xmlns:a="http://schemas.openxmlformats.org/drawingml/2006/main">
                <a:ext uri="{FF2B5EF4-FFF2-40B4-BE49-F238E27FC236}">
                  <a16:creationId xmlns:a16="http://schemas.microsoft.com/office/drawing/2014/main" id="{8EC4B8CC-3359-6E35-5BE4-1B51A29F44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0D05CD3" w14:textId="77777777" w:rsidR="0001043E" w:rsidRPr="00554821" w:rsidRDefault="0001043E" w:rsidP="00821262">
      <w:pPr>
        <w:rPr>
          <w:rFonts w:ascii="Arial" w:hAnsi="Arial" w:cs="Arial"/>
          <w:sz w:val="24"/>
          <w:szCs w:val="24"/>
        </w:rPr>
      </w:pPr>
    </w:p>
    <w:p w14:paraId="3CD05ADD" w14:textId="292F606F" w:rsidR="006C475F" w:rsidRDefault="00C4146D" w:rsidP="00C4146D">
      <w:pPr>
        <w:jc w:val="center"/>
        <w:rPr>
          <w:rFonts w:ascii="Arial Narrow" w:hAnsi="Arial Narrow" w:cs="Arial"/>
          <w:sz w:val="36"/>
          <w:szCs w:val="36"/>
        </w:rPr>
      </w:pPr>
      <w:r>
        <w:rPr>
          <w:noProof/>
        </w:rPr>
        <w:drawing>
          <wp:inline distT="0" distB="0" distL="0" distR="0" wp14:anchorId="4A4B82D3" wp14:editId="46425C0F">
            <wp:extent cx="4320000" cy="2520000"/>
            <wp:effectExtent l="0" t="0" r="4445" b="13970"/>
            <wp:docPr id="2" name="Chart 2">
              <a:extLst xmlns:a="http://schemas.openxmlformats.org/drawingml/2006/main">
                <a:ext uri="{FF2B5EF4-FFF2-40B4-BE49-F238E27FC236}">
                  <a16:creationId xmlns:a16="http://schemas.microsoft.com/office/drawing/2014/main" id="{0B96B1C3-BC6D-43BD-A43E-0BA38F8E80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9933EB8" w14:textId="77777777" w:rsidR="0001043E" w:rsidRDefault="0001043E" w:rsidP="00C4146D">
      <w:pPr>
        <w:jc w:val="center"/>
        <w:rPr>
          <w:rFonts w:ascii="Arial Narrow" w:hAnsi="Arial Narrow" w:cs="Arial"/>
          <w:sz w:val="36"/>
          <w:szCs w:val="36"/>
        </w:rPr>
      </w:pPr>
    </w:p>
    <w:p w14:paraId="56E6C506" w14:textId="5485B8BB" w:rsidR="0001043E" w:rsidRDefault="00B04043" w:rsidP="0001043E">
      <w:pPr>
        <w:jc w:val="center"/>
        <w:rPr>
          <w:rFonts w:ascii="Arial Narrow" w:hAnsi="Arial Narrow" w:cs="Arial"/>
          <w:sz w:val="36"/>
          <w:szCs w:val="36"/>
        </w:rPr>
      </w:pPr>
      <w:r>
        <w:rPr>
          <w:noProof/>
        </w:rPr>
        <w:drawing>
          <wp:inline distT="0" distB="0" distL="0" distR="0" wp14:anchorId="4EB9276A" wp14:editId="664CBE5A">
            <wp:extent cx="4320000" cy="2520000"/>
            <wp:effectExtent l="0" t="0" r="4445" b="13970"/>
            <wp:docPr id="7" name="Chart 7">
              <a:extLst xmlns:a="http://schemas.openxmlformats.org/drawingml/2006/main">
                <a:ext uri="{FF2B5EF4-FFF2-40B4-BE49-F238E27FC236}">
                  <a16:creationId xmlns:a16="http://schemas.microsoft.com/office/drawing/2014/main" id="{DDEAB6CE-E8F1-C5E7-60FF-036E88026A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44A4199" w14:textId="641A100E" w:rsidR="00265D84" w:rsidRPr="00813F84" w:rsidRDefault="00265D84">
      <w:pPr>
        <w:rPr>
          <w:rFonts w:ascii="Arial Narrow" w:hAnsi="Arial Narrow" w:cs="Arial"/>
          <w:b/>
          <w:bCs/>
          <w:sz w:val="36"/>
          <w:szCs w:val="36"/>
        </w:rPr>
      </w:pPr>
      <w:r w:rsidRPr="00813F84">
        <w:rPr>
          <w:rFonts w:ascii="Arial Narrow" w:hAnsi="Arial Narrow" w:cs="Arial"/>
          <w:b/>
          <w:bCs/>
          <w:sz w:val="36"/>
          <w:szCs w:val="36"/>
        </w:rPr>
        <w:lastRenderedPageBreak/>
        <w:t>Dry recycling</w:t>
      </w:r>
    </w:p>
    <w:p w14:paraId="3390BE90" w14:textId="62090A94" w:rsidR="006C475F" w:rsidRDefault="006C475F" w:rsidP="00554821">
      <w:pPr>
        <w:rPr>
          <w:rFonts w:ascii="Arial" w:hAnsi="Arial" w:cs="Arial"/>
          <w:sz w:val="24"/>
          <w:szCs w:val="24"/>
        </w:rPr>
      </w:pPr>
      <w:r>
        <w:rPr>
          <w:rFonts w:ascii="Arial" w:hAnsi="Arial" w:cs="Arial"/>
          <w:sz w:val="24"/>
          <w:szCs w:val="24"/>
        </w:rPr>
        <w:t xml:space="preserve">For the dry recycling bins, </w:t>
      </w:r>
      <w:r w:rsidR="008304B4">
        <w:rPr>
          <w:rFonts w:ascii="Arial" w:hAnsi="Arial" w:cs="Arial"/>
          <w:sz w:val="24"/>
          <w:szCs w:val="24"/>
        </w:rPr>
        <w:t>the results from surveys in October and January were very similar with slightly less space available in the bins in January. However, when the January results are split by week and we look at the first week, 9</w:t>
      </w:r>
      <w:r w:rsidR="008304B4" w:rsidRPr="008304B4">
        <w:rPr>
          <w:rFonts w:ascii="Arial" w:hAnsi="Arial" w:cs="Arial"/>
          <w:sz w:val="24"/>
          <w:szCs w:val="24"/>
          <w:vertAlign w:val="superscript"/>
        </w:rPr>
        <w:t>th</w:t>
      </w:r>
      <w:r w:rsidR="008304B4">
        <w:rPr>
          <w:rFonts w:ascii="Arial" w:hAnsi="Arial" w:cs="Arial"/>
          <w:sz w:val="24"/>
          <w:szCs w:val="24"/>
        </w:rPr>
        <w:t xml:space="preserve"> to 13</w:t>
      </w:r>
      <w:r w:rsidR="008304B4" w:rsidRPr="008304B4">
        <w:rPr>
          <w:rFonts w:ascii="Arial" w:hAnsi="Arial" w:cs="Arial"/>
          <w:sz w:val="24"/>
          <w:szCs w:val="24"/>
          <w:vertAlign w:val="superscript"/>
        </w:rPr>
        <w:t>th</w:t>
      </w:r>
      <w:r w:rsidR="008304B4">
        <w:rPr>
          <w:rFonts w:ascii="Arial" w:hAnsi="Arial" w:cs="Arial"/>
          <w:sz w:val="24"/>
          <w:szCs w:val="24"/>
        </w:rPr>
        <w:t xml:space="preserve"> January, there is a significant change in capacity. 10% more of the bins are either 100% or over 100% full, and the average space used in the bins increases from 76% to 85%. </w:t>
      </w:r>
    </w:p>
    <w:p w14:paraId="1CB1B547" w14:textId="0C088A39" w:rsidR="007823FA" w:rsidRDefault="007823FA" w:rsidP="00554821">
      <w:pPr>
        <w:rPr>
          <w:rFonts w:ascii="Arial" w:hAnsi="Arial" w:cs="Arial"/>
          <w:sz w:val="24"/>
          <w:szCs w:val="24"/>
        </w:rPr>
      </w:pPr>
      <w:r>
        <w:rPr>
          <w:rFonts w:ascii="Arial" w:hAnsi="Arial" w:cs="Arial"/>
          <w:sz w:val="24"/>
          <w:szCs w:val="24"/>
        </w:rPr>
        <w:t xml:space="preserve">These results are presented in Table 2, and Figures </w:t>
      </w:r>
      <w:r w:rsidR="008304B4">
        <w:rPr>
          <w:rFonts w:ascii="Arial" w:hAnsi="Arial" w:cs="Arial"/>
          <w:sz w:val="24"/>
          <w:szCs w:val="24"/>
        </w:rPr>
        <w:t>4, 5</w:t>
      </w:r>
      <w:r>
        <w:rPr>
          <w:rFonts w:ascii="Arial" w:hAnsi="Arial" w:cs="Arial"/>
          <w:sz w:val="24"/>
          <w:szCs w:val="24"/>
        </w:rPr>
        <w:t xml:space="preserve"> and </w:t>
      </w:r>
      <w:r w:rsidR="008304B4">
        <w:rPr>
          <w:rFonts w:ascii="Arial" w:hAnsi="Arial" w:cs="Arial"/>
          <w:sz w:val="24"/>
          <w:szCs w:val="24"/>
        </w:rPr>
        <w:t>6</w:t>
      </w:r>
      <w:r>
        <w:rPr>
          <w:rFonts w:ascii="Arial" w:hAnsi="Arial" w:cs="Arial"/>
          <w:sz w:val="24"/>
          <w:szCs w:val="24"/>
        </w:rPr>
        <w:t xml:space="preserve"> below.</w:t>
      </w:r>
    </w:p>
    <w:p w14:paraId="3EAB5B63" w14:textId="0A0F164D" w:rsidR="0001043E" w:rsidRPr="0001043E" w:rsidRDefault="0001043E" w:rsidP="00554821">
      <w:pPr>
        <w:rPr>
          <w:rFonts w:ascii="Arial Black" w:hAnsi="Arial Black" w:cs="Arial"/>
          <w:sz w:val="24"/>
          <w:szCs w:val="24"/>
        </w:rPr>
      </w:pPr>
      <w:r w:rsidRPr="0001043E">
        <w:rPr>
          <w:rFonts w:ascii="Arial Black" w:hAnsi="Arial Black" w:cs="Arial"/>
          <w:sz w:val="24"/>
          <w:szCs w:val="24"/>
        </w:rPr>
        <w:t>Table 2: Dry recycling results</w:t>
      </w:r>
    </w:p>
    <w:tbl>
      <w:tblPr>
        <w:tblStyle w:val="TableGrid"/>
        <w:tblW w:w="0" w:type="auto"/>
        <w:tblLook w:val="04A0" w:firstRow="1" w:lastRow="0" w:firstColumn="1" w:lastColumn="0" w:noHBand="0" w:noVBand="1"/>
      </w:tblPr>
      <w:tblGrid>
        <w:gridCol w:w="3539"/>
        <w:gridCol w:w="1843"/>
        <w:gridCol w:w="1843"/>
        <w:gridCol w:w="1791"/>
      </w:tblGrid>
      <w:tr w:rsidR="007823FA" w14:paraId="417DC0A7" w14:textId="6CF8A282" w:rsidTr="007823FA">
        <w:tc>
          <w:tcPr>
            <w:tcW w:w="3539" w:type="dxa"/>
          </w:tcPr>
          <w:p w14:paraId="3D29E83C" w14:textId="77777777" w:rsidR="007823FA" w:rsidRDefault="007823FA" w:rsidP="00136813">
            <w:pPr>
              <w:rPr>
                <w:rFonts w:ascii="Arial" w:hAnsi="Arial" w:cs="Arial"/>
                <w:sz w:val="24"/>
                <w:szCs w:val="24"/>
              </w:rPr>
            </w:pPr>
          </w:p>
        </w:tc>
        <w:tc>
          <w:tcPr>
            <w:tcW w:w="1843" w:type="dxa"/>
          </w:tcPr>
          <w:p w14:paraId="5A322A9A" w14:textId="77777777" w:rsidR="007823FA" w:rsidRPr="007823FA" w:rsidRDefault="007823FA" w:rsidP="00136813">
            <w:pPr>
              <w:rPr>
                <w:rFonts w:ascii="Arial" w:hAnsi="Arial" w:cs="Arial"/>
                <w:b/>
                <w:bCs/>
                <w:sz w:val="24"/>
                <w:szCs w:val="24"/>
              </w:rPr>
            </w:pPr>
            <w:r w:rsidRPr="007823FA">
              <w:rPr>
                <w:rFonts w:ascii="Arial" w:hAnsi="Arial" w:cs="Arial"/>
                <w:b/>
                <w:bCs/>
                <w:sz w:val="24"/>
                <w:szCs w:val="24"/>
              </w:rPr>
              <w:t>October</w:t>
            </w:r>
          </w:p>
          <w:p w14:paraId="0BBF2542" w14:textId="4A73962B" w:rsidR="007823FA" w:rsidRPr="007823FA" w:rsidRDefault="007823FA" w:rsidP="00136813">
            <w:pPr>
              <w:rPr>
                <w:rFonts w:ascii="Arial" w:hAnsi="Arial" w:cs="Arial"/>
                <w:b/>
                <w:bCs/>
                <w:sz w:val="24"/>
                <w:szCs w:val="24"/>
              </w:rPr>
            </w:pPr>
            <w:r w:rsidRPr="007823FA">
              <w:rPr>
                <w:rFonts w:ascii="Arial" w:hAnsi="Arial" w:cs="Arial"/>
                <w:b/>
                <w:bCs/>
                <w:sz w:val="24"/>
                <w:szCs w:val="24"/>
              </w:rPr>
              <w:t>Both weeks</w:t>
            </w:r>
          </w:p>
        </w:tc>
        <w:tc>
          <w:tcPr>
            <w:tcW w:w="1843" w:type="dxa"/>
          </w:tcPr>
          <w:p w14:paraId="02B32631" w14:textId="77777777" w:rsidR="007823FA" w:rsidRPr="007823FA" w:rsidRDefault="007823FA" w:rsidP="00136813">
            <w:pPr>
              <w:rPr>
                <w:rFonts w:ascii="Arial" w:hAnsi="Arial" w:cs="Arial"/>
                <w:b/>
                <w:bCs/>
                <w:sz w:val="24"/>
                <w:szCs w:val="24"/>
              </w:rPr>
            </w:pPr>
            <w:r w:rsidRPr="007823FA">
              <w:rPr>
                <w:rFonts w:ascii="Arial" w:hAnsi="Arial" w:cs="Arial"/>
                <w:b/>
                <w:bCs/>
                <w:sz w:val="24"/>
                <w:szCs w:val="24"/>
              </w:rPr>
              <w:t>January</w:t>
            </w:r>
          </w:p>
          <w:p w14:paraId="3F051830" w14:textId="409CDC36" w:rsidR="007823FA" w:rsidRPr="007823FA" w:rsidRDefault="007823FA" w:rsidP="00136813">
            <w:pPr>
              <w:rPr>
                <w:rFonts w:ascii="Arial" w:hAnsi="Arial" w:cs="Arial"/>
                <w:b/>
                <w:bCs/>
                <w:sz w:val="24"/>
                <w:szCs w:val="24"/>
              </w:rPr>
            </w:pPr>
            <w:r w:rsidRPr="007823FA">
              <w:rPr>
                <w:rFonts w:ascii="Arial" w:hAnsi="Arial" w:cs="Arial"/>
                <w:b/>
                <w:bCs/>
                <w:sz w:val="24"/>
                <w:szCs w:val="24"/>
              </w:rPr>
              <w:t>Both weeks</w:t>
            </w:r>
          </w:p>
        </w:tc>
        <w:tc>
          <w:tcPr>
            <w:tcW w:w="1791" w:type="dxa"/>
          </w:tcPr>
          <w:p w14:paraId="3C455578" w14:textId="77777777" w:rsidR="007823FA" w:rsidRPr="007823FA" w:rsidRDefault="007823FA" w:rsidP="00136813">
            <w:pPr>
              <w:rPr>
                <w:rFonts w:ascii="Arial" w:hAnsi="Arial" w:cs="Arial"/>
                <w:b/>
                <w:bCs/>
                <w:sz w:val="24"/>
                <w:szCs w:val="24"/>
              </w:rPr>
            </w:pPr>
            <w:r w:rsidRPr="007823FA">
              <w:rPr>
                <w:rFonts w:ascii="Arial" w:hAnsi="Arial" w:cs="Arial"/>
                <w:b/>
                <w:bCs/>
                <w:sz w:val="24"/>
                <w:szCs w:val="24"/>
              </w:rPr>
              <w:t xml:space="preserve">January </w:t>
            </w:r>
          </w:p>
          <w:p w14:paraId="197F5176" w14:textId="73D52C60" w:rsidR="007823FA" w:rsidRPr="007823FA" w:rsidRDefault="007823FA" w:rsidP="00136813">
            <w:pPr>
              <w:rPr>
                <w:rFonts w:ascii="Arial" w:hAnsi="Arial" w:cs="Arial"/>
                <w:b/>
                <w:bCs/>
                <w:sz w:val="24"/>
                <w:szCs w:val="24"/>
              </w:rPr>
            </w:pPr>
            <w:r w:rsidRPr="007823FA">
              <w:rPr>
                <w:rFonts w:ascii="Arial" w:hAnsi="Arial" w:cs="Arial"/>
                <w:b/>
                <w:bCs/>
                <w:sz w:val="24"/>
                <w:szCs w:val="24"/>
              </w:rPr>
              <w:t>Week 1 only</w:t>
            </w:r>
          </w:p>
        </w:tc>
      </w:tr>
      <w:tr w:rsidR="007823FA" w14:paraId="7DF4DABF" w14:textId="4464D5A3" w:rsidTr="007823FA">
        <w:tc>
          <w:tcPr>
            <w:tcW w:w="3539" w:type="dxa"/>
          </w:tcPr>
          <w:p w14:paraId="1054B0FF" w14:textId="298699C9" w:rsidR="007823FA" w:rsidRDefault="007823FA" w:rsidP="00136813">
            <w:pPr>
              <w:rPr>
                <w:rFonts w:ascii="Arial" w:hAnsi="Arial" w:cs="Arial"/>
                <w:sz w:val="24"/>
                <w:szCs w:val="24"/>
              </w:rPr>
            </w:pPr>
            <w:r>
              <w:rPr>
                <w:rFonts w:ascii="Arial" w:hAnsi="Arial" w:cs="Arial"/>
                <w:sz w:val="24"/>
                <w:szCs w:val="24"/>
              </w:rPr>
              <w:t>100% or over 100% full</w:t>
            </w:r>
            <w:r w:rsidR="0001043E">
              <w:rPr>
                <w:rFonts w:ascii="Arial" w:hAnsi="Arial" w:cs="Arial"/>
                <w:sz w:val="24"/>
                <w:szCs w:val="24"/>
              </w:rPr>
              <w:t>*</w:t>
            </w:r>
          </w:p>
        </w:tc>
        <w:tc>
          <w:tcPr>
            <w:tcW w:w="1843" w:type="dxa"/>
          </w:tcPr>
          <w:p w14:paraId="1C16D073" w14:textId="2D5EB15D" w:rsidR="007823FA" w:rsidRDefault="007823FA" w:rsidP="00136813">
            <w:pPr>
              <w:rPr>
                <w:rFonts w:ascii="Arial" w:hAnsi="Arial" w:cs="Arial"/>
                <w:sz w:val="24"/>
                <w:szCs w:val="24"/>
              </w:rPr>
            </w:pPr>
            <w:r>
              <w:rPr>
                <w:rFonts w:ascii="Arial" w:hAnsi="Arial" w:cs="Arial"/>
                <w:sz w:val="24"/>
                <w:szCs w:val="24"/>
              </w:rPr>
              <w:t>39%</w:t>
            </w:r>
          </w:p>
        </w:tc>
        <w:tc>
          <w:tcPr>
            <w:tcW w:w="1843" w:type="dxa"/>
          </w:tcPr>
          <w:p w14:paraId="32478CE4" w14:textId="52FA039D" w:rsidR="007823FA" w:rsidRDefault="007823FA" w:rsidP="00136813">
            <w:pPr>
              <w:rPr>
                <w:rFonts w:ascii="Arial" w:hAnsi="Arial" w:cs="Arial"/>
                <w:sz w:val="24"/>
                <w:szCs w:val="24"/>
              </w:rPr>
            </w:pPr>
            <w:r>
              <w:rPr>
                <w:rFonts w:ascii="Arial" w:hAnsi="Arial" w:cs="Arial"/>
                <w:sz w:val="24"/>
                <w:szCs w:val="24"/>
              </w:rPr>
              <w:t>40%</w:t>
            </w:r>
          </w:p>
        </w:tc>
        <w:tc>
          <w:tcPr>
            <w:tcW w:w="1791" w:type="dxa"/>
          </w:tcPr>
          <w:p w14:paraId="6B64A9C6" w14:textId="55D6E88E" w:rsidR="007823FA" w:rsidRDefault="007823FA" w:rsidP="00136813">
            <w:pPr>
              <w:rPr>
                <w:rFonts w:ascii="Arial" w:hAnsi="Arial" w:cs="Arial"/>
                <w:sz w:val="24"/>
                <w:szCs w:val="24"/>
              </w:rPr>
            </w:pPr>
            <w:r>
              <w:rPr>
                <w:rFonts w:ascii="Arial" w:hAnsi="Arial" w:cs="Arial"/>
                <w:sz w:val="24"/>
                <w:szCs w:val="24"/>
              </w:rPr>
              <w:t>49%</w:t>
            </w:r>
          </w:p>
        </w:tc>
      </w:tr>
      <w:tr w:rsidR="007823FA" w14:paraId="51287B31" w14:textId="0FD20FC9" w:rsidTr="007823FA">
        <w:tc>
          <w:tcPr>
            <w:tcW w:w="3539" w:type="dxa"/>
          </w:tcPr>
          <w:p w14:paraId="3578BC03" w14:textId="77777777" w:rsidR="007823FA" w:rsidRDefault="007823FA" w:rsidP="00136813">
            <w:pPr>
              <w:rPr>
                <w:rFonts w:ascii="Arial" w:hAnsi="Arial" w:cs="Arial"/>
                <w:sz w:val="24"/>
                <w:szCs w:val="24"/>
              </w:rPr>
            </w:pPr>
            <w:r>
              <w:rPr>
                <w:rFonts w:ascii="Arial" w:hAnsi="Arial" w:cs="Arial"/>
                <w:sz w:val="24"/>
                <w:szCs w:val="24"/>
              </w:rPr>
              <w:t>50% or less full</w:t>
            </w:r>
          </w:p>
        </w:tc>
        <w:tc>
          <w:tcPr>
            <w:tcW w:w="1843" w:type="dxa"/>
          </w:tcPr>
          <w:p w14:paraId="73D184D8" w14:textId="5AD7BC2A" w:rsidR="007823FA" w:rsidRDefault="007823FA" w:rsidP="00136813">
            <w:pPr>
              <w:rPr>
                <w:rFonts w:ascii="Arial" w:hAnsi="Arial" w:cs="Arial"/>
                <w:sz w:val="24"/>
                <w:szCs w:val="24"/>
              </w:rPr>
            </w:pPr>
            <w:r>
              <w:rPr>
                <w:rFonts w:ascii="Arial" w:hAnsi="Arial" w:cs="Arial"/>
                <w:sz w:val="24"/>
                <w:szCs w:val="24"/>
              </w:rPr>
              <w:t>26%</w:t>
            </w:r>
          </w:p>
        </w:tc>
        <w:tc>
          <w:tcPr>
            <w:tcW w:w="1843" w:type="dxa"/>
          </w:tcPr>
          <w:p w14:paraId="47E256CB" w14:textId="762E3592" w:rsidR="007823FA" w:rsidRDefault="007823FA" w:rsidP="00136813">
            <w:pPr>
              <w:rPr>
                <w:rFonts w:ascii="Arial" w:hAnsi="Arial" w:cs="Arial"/>
                <w:sz w:val="24"/>
                <w:szCs w:val="24"/>
              </w:rPr>
            </w:pPr>
            <w:r>
              <w:rPr>
                <w:rFonts w:ascii="Arial" w:hAnsi="Arial" w:cs="Arial"/>
                <w:sz w:val="24"/>
                <w:szCs w:val="24"/>
              </w:rPr>
              <w:t>20%</w:t>
            </w:r>
          </w:p>
        </w:tc>
        <w:tc>
          <w:tcPr>
            <w:tcW w:w="1791" w:type="dxa"/>
          </w:tcPr>
          <w:p w14:paraId="08B4596E" w14:textId="74AFE856" w:rsidR="007823FA" w:rsidRDefault="007823FA" w:rsidP="00136813">
            <w:pPr>
              <w:rPr>
                <w:rFonts w:ascii="Arial" w:hAnsi="Arial" w:cs="Arial"/>
                <w:sz w:val="24"/>
                <w:szCs w:val="24"/>
              </w:rPr>
            </w:pPr>
            <w:r>
              <w:rPr>
                <w:rFonts w:ascii="Arial" w:hAnsi="Arial" w:cs="Arial"/>
                <w:sz w:val="24"/>
                <w:szCs w:val="24"/>
              </w:rPr>
              <w:t>13%</w:t>
            </w:r>
          </w:p>
        </w:tc>
      </w:tr>
      <w:tr w:rsidR="007823FA" w14:paraId="680D8C67" w14:textId="00F62505" w:rsidTr="007823FA">
        <w:tc>
          <w:tcPr>
            <w:tcW w:w="3539" w:type="dxa"/>
          </w:tcPr>
          <w:p w14:paraId="19B6A95A" w14:textId="77777777" w:rsidR="007823FA" w:rsidRDefault="007823FA" w:rsidP="00136813">
            <w:pPr>
              <w:rPr>
                <w:rFonts w:ascii="Arial" w:hAnsi="Arial" w:cs="Arial"/>
                <w:sz w:val="24"/>
                <w:szCs w:val="24"/>
              </w:rPr>
            </w:pPr>
            <w:r>
              <w:rPr>
                <w:rFonts w:ascii="Arial" w:hAnsi="Arial" w:cs="Arial"/>
                <w:sz w:val="24"/>
                <w:szCs w:val="24"/>
              </w:rPr>
              <w:t>Average space used in bins presented</w:t>
            </w:r>
          </w:p>
        </w:tc>
        <w:tc>
          <w:tcPr>
            <w:tcW w:w="1843" w:type="dxa"/>
          </w:tcPr>
          <w:p w14:paraId="0F8BB099" w14:textId="557D10C0" w:rsidR="007823FA" w:rsidRDefault="007823FA" w:rsidP="00136813">
            <w:pPr>
              <w:rPr>
                <w:rFonts w:ascii="Arial" w:hAnsi="Arial" w:cs="Arial"/>
                <w:sz w:val="24"/>
                <w:szCs w:val="24"/>
              </w:rPr>
            </w:pPr>
            <w:r>
              <w:rPr>
                <w:rFonts w:ascii="Arial" w:hAnsi="Arial" w:cs="Arial"/>
                <w:sz w:val="24"/>
                <w:szCs w:val="24"/>
              </w:rPr>
              <w:t>76%</w:t>
            </w:r>
          </w:p>
        </w:tc>
        <w:tc>
          <w:tcPr>
            <w:tcW w:w="1843" w:type="dxa"/>
          </w:tcPr>
          <w:p w14:paraId="7D029B52" w14:textId="1A8BE881" w:rsidR="007823FA" w:rsidRDefault="007823FA" w:rsidP="00136813">
            <w:pPr>
              <w:rPr>
                <w:rFonts w:ascii="Arial" w:hAnsi="Arial" w:cs="Arial"/>
                <w:sz w:val="24"/>
                <w:szCs w:val="24"/>
              </w:rPr>
            </w:pPr>
            <w:r>
              <w:rPr>
                <w:rFonts w:ascii="Arial" w:hAnsi="Arial" w:cs="Arial"/>
                <w:sz w:val="24"/>
                <w:szCs w:val="24"/>
              </w:rPr>
              <w:t>79%</w:t>
            </w:r>
          </w:p>
        </w:tc>
        <w:tc>
          <w:tcPr>
            <w:tcW w:w="1791" w:type="dxa"/>
          </w:tcPr>
          <w:p w14:paraId="7DF6EC88" w14:textId="2FFD76E4" w:rsidR="007823FA" w:rsidRDefault="007823FA" w:rsidP="00136813">
            <w:pPr>
              <w:rPr>
                <w:rFonts w:ascii="Arial" w:hAnsi="Arial" w:cs="Arial"/>
                <w:sz w:val="24"/>
                <w:szCs w:val="24"/>
              </w:rPr>
            </w:pPr>
            <w:r>
              <w:rPr>
                <w:rFonts w:ascii="Arial" w:hAnsi="Arial" w:cs="Arial"/>
                <w:sz w:val="24"/>
                <w:szCs w:val="24"/>
              </w:rPr>
              <w:t>85%</w:t>
            </w:r>
          </w:p>
        </w:tc>
      </w:tr>
    </w:tbl>
    <w:p w14:paraId="6726236D" w14:textId="77777777" w:rsidR="00652B71" w:rsidRDefault="00652B71" w:rsidP="00554821">
      <w:pPr>
        <w:rPr>
          <w:rFonts w:ascii="Arial" w:hAnsi="Arial" w:cs="Arial"/>
          <w:sz w:val="24"/>
          <w:szCs w:val="24"/>
        </w:rPr>
      </w:pPr>
    </w:p>
    <w:p w14:paraId="6896B05B" w14:textId="4EC7F7DC" w:rsidR="005326DB" w:rsidRDefault="005326DB" w:rsidP="004479F4">
      <w:pPr>
        <w:jc w:val="center"/>
        <w:rPr>
          <w:rFonts w:ascii="Arial" w:hAnsi="Arial" w:cs="Arial"/>
          <w:sz w:val="24"/>
          <w:szCs w:val="24"/>
        </w:rPr>
      </w:pPr>
      <w:r>
        <w:rPr>
          <w:noProof/>
        </w:rPr>
        <w:drawing>
          <wp:inline distT="0" distB="0" distL="0" distR="0" wp14:anchorId="38B64DFC" wp14:editId="2CB07FEA">
            <wp:extent cx="4320000" cy="2520000"/>
            <wp:effectExtent l="0" t="0" r="4445" b="13970"/>
            <wp:docPr id="4" name="Chart 4">
              <a:extLst xmlns:a="http://schemas.openxmlformats.org/drawingml/2006/main">
                <a:ext uri="{FF2B5EF4-FFF2-40B4-BE49-F238E27FC236}">
                  <a16:creationId xmlns:a16="http://schemas.microsoft.com/office/drawing/2014/main" id="{F0777E12-A4D9-D0EC-451B-B0DF8BCD1A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87C856A" w14:textId="77777777" w:rsidR="0001043E" w:rsidRDefault="0001043E" w:rsidP="004479F4">
      <w:pPr>
        <w:jc w:val="center"/>
        <w:rPr>
          <w:rFonts w:ascii="Arial" w:hAnsi="Arial" w:cs="Arial"/>
          <w:sz w:val="24"/>
          <w:szCs w:val="24"/>
        </w:rPr>
      </w:pPr>
    </w:p>
    <w:p w14:paraId="62E8594B" w14:textId="290CD2F9" w:rsidR="007C38B3" w:rsidRDefault="00C4146D" w:rsidP="0001043E">
      <w:pPr>
        <w:jc w:val="center"/>
        <w:rPr>
          <w:rFonts w:ascii="Arial" w:hAnsi="Arial" w:cs="Arial"/>
          <w:sz w:val="24"/>
          <w:szCs w:val="24"/>
        </w:rPr>
      </w:pPr>
      <w:r>
        <w:rPr>
          <w:noProof/>
        </w:rPr>
        <w:lastRenderedPageBreak/>
        <w:drawing>
          <wp:inline distT="0" distB="0" distL="0" distR="0" wp14:anchorId="62CAEC65" wp14:editId="0806DA6B">
            <wp:extent cx="4320000" cy="2520000"/>
            <wp:effectExtent l="0" t="0" r="4445" b="13970"/>
            <wp:docPr id="3" name="Chart 3">
              <a:extLst xmlns:a="http://schemas.openxmlformats.org/drawingml/2006/main">
                <a:ext uri="{FF2B5EF4-FFF2-40B4-BE49-F238E27FC236}">
                  <a16:creationId xmlns:a16="http://schemas.microsoft.com/office/drawing/2014/main" id="{355F867B-7FD5-4A91-9591-1C1924EE64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C06751E" w14:textId="77777777" w:rsidR="0001043E" w:rsidRDefault="0001043E" w:rsidP="0001043E">
      <w:pPr>
        <w:jc w:val="center"/>
        <w:rPr>
          <w:rFonts w:ascii="Arial" w:hAnsi="Arial" w:cs="Arial"/>
          <w:sz w:val="24"/>
          <w:szCs w:val="24"/>
        </w:rPr>
      </w:pPr>
    </w:p>
    <w:p w14:paraId="4582012D" w14:textId="30163DAE" w:rsidR="006C475F" w:rsidRDefault="00B04043" w:rsidP="007823FA">
      <w:pPr>
        <w:jc w:val="center"/>
        <w:rPr>
          <w:rFonts w:ascii="Arial" w:hAnsi="Arial" w:cs="Arial"/>
          <w:sz w:val="24"/>
          <w:szCs w:val="24"/>
        </w:rPr>
      </w:pPr>
      <w:r>
        <w:rPr>
          <w:noProof/>
        </w:rPr>
        <w:drawing>
          <wp:inline distT="0" distB="0" distL="0" distR="0" wp14:anchorId="60490B7C" wp14:editId="1B9F3353">
            <wp:extent cx="4320000" cy="2520000"/>
            <wp:effectExtent l="0" t="0" r="4445" b="13970"/>
            <wp:docPr id="6" name="Chart 6">
              <a:extLst xmlns:a="http://schemas.openxmlformats.org/drawingml/2006/main">
                <a:ext uri="{FF2B5EF4-FFF2-40B4-BE49-F238E27FC236}">
                  <a16:creationId xmlns:a16="http://schemas.microsoft.com/office/drawing/2014/main" id="{05D40649-3542-7A6F-60E4-7433FF6BED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BA2BACD" w14:textId="77777777" w:rsidR="006C475F" w:rsidRDefault="006C475F">
      <w:pPr>
        <w:rPr>
          <w:rFonts w:ascii="Arial" w:hAnsi="Arial" w:cs="Arial"/>
          <w:sz w:val="24"/>
          <w:szCs w:val="24"/>
        </w:rPr>
      </w:pPr>
    </w:p>
    <w:p w14:paraId="5192E49A" w14:textId="2F428B1B" w:rsidR="00265D84" w:rsidRPr="00813F84" w:rsidRDefault="00265D84">
      <w:pPr>
        <w:rPr>
          <w:rFonts w:ascii="Arial Narrow" w:hAnsi="Arial Narrow" w:cs="Arial"/>
          <w:b/>
          <w:bCs/>
          <w:sz w:val="36"/>
          <w:szCs w:val="36"/>
        </w:rPr>
      </w:pPr>
      <w:r w:rsidRPr="00813F84">
        <w:rPr>
          <w:rFonts w:ascii="Arial Narrow" w:hAnsi="Arial Narrow" w:cs="Arial"/>
          <w:b/>
          <w:bCs/>
          <w:sz w:val="36"/>
          <w:szCs w:val="36"/>
        </w:rPr>
        <w:t>Data limitations</w:t>
      </w:r>
    </w:p>
    <w:p w14:paraId="1E86A571" w14:textId="269B1DC6" w:rsidR="00B67C86" w:rsidRPr="00B67C86" w:rsidRDefault="00757C76" w:rsidP="00B67C86">
      <w:pPr>
        <w:pStyle w:val="ListParagraph"/>
        <w:numPr>
          <w:ilvl w:val="0"/>
          <w:numId w:val="1"/>
        </w:numPr>
        <w:rPr>
          <w:rFonts w:ascii="Arial" w:hAnsi="Arial" w:cs="Arial"/>
          <w:sz w:val="24"/>
          <w:szCs w:val="24"/>
        </w:rPr>
      </w:pPr>
      <w:r>
        <w:rPr>
          <w:rFonts w:ascii="Arial" w:hAnsi="Arial" w:cs="Arial"/>
          <w:sz w:val="24"/>
          <w:szCs w:val="24"/>
        </w:rPr>
        <w:t>There is</w:t>
      </w:r>
      <w:r w:rsidR="00265D84" w:rsidRPr="00757C76">
        <w:rPr>
          <w:rFonts w:ascii="Arial" w:hAnsi="Arial" w:cs="Arial"/>
          <w:sz w:val="24"/>
          <w:szCs w:val="24"/>
        </w:rPr>
        <w:t xml:space="preserve"> no information on the available capacity in bins not presented</w:t>
      </w:r>
      <w:r w:rsidR="006C475F">
        <w:rPr>
          <w:rFonts w:ascii="Arial" w:hAnsi="Arial" w:cs="Arial"/>
          <w:sz w:val="24"/>
          <w:szCs w:val="24"/>
        </w:rPr>
        <w:t xml:space="preserve">. </w:t>
      </w:r>
      <w:r w:rsidR="009E6E93">
        <w:rPr>
          <w:rFonts w:ascii="Arial" w:hAnsi="Arial" w:cs="Arial"/>
          <w:sz w:val="24"/>
          <w:szCs w:val="24"/>
        </w:rPr>
        <w:t>This report assumes</w:t>
      </w:r>
      <w:r w:rsidR="00B67C86">
        <w:rPr>
          <w:rFonts w:ascii="Arial" w:hAnsi="Arial" w:cs="Arial"/>
          <w:sz w:val="24"/>
          <w:szCs w:val="24"/>
        </w:rPr>
        <w:t xml:space="preserve"> that </w:t>
      </w:r>
      <w:proofErr w:type="gramStart"/>
      <w:r w:rsidR="00B67C86">
        <w:rPr>
          <w:rFonts w:ascii="Arial" w:hAnsi="Arial" w:cs="Arial"/>
          <w:sz w:val="24"/>
          <w:szCs w:val="24"/>
        </w:rPr>
        <w:t>the majority of</w:t>
      </w:r>
      <w:proofErr w:type="gramEnd"/>
      <w:r w:rsidR="00B67C86">
        <w:rPr>
          <w:rFonts w:ascii="Arial" w:hAnsi="Arial" w:cs="Arial"/>
          <w:sz w:val="24"/>
          <w:szCs w:val="24"/>
        </w:rPr>
        <w:t xml:space="preserve"> these bins have not been presented because the resident is comfortable that they have sufficient capacity available to wait until their next collection in two weeks.</w:t>
      </w:r>
    </w:p>
    <w:p w14:paraId="4AAE9FF2" w14:textId="69A4BFCF" w:rsidR="00265D84" w:rsidRDefault="00265D84" w:rsidP="00757C76">
      <w:pPr>
        <w:pStyle w:val="ListParagraph"/>
        <w:numPr>
          <w:ilvl w:val="0"/>
          <w:numId w:val="1"/>
        </w:numPr>
        <w:rPr>
          <w:rFonts w:ascii="Arial" w:hAnsi="Arial" w:cs="Arial"/>
          <w:sz w:val="24"/>
          <w:szCs w:val="24"/>
        </w:rPr>
      </w:pPr>
      <w:r w:rsidRPr="00757C76">
        <w:rPr>
          <w:rFonts w:ascii="Arial" w:hAnsi="Arial" w:cs="Arial"/>
          <w:sz w:val="24"/>
          <w:szCs w:val="24"/>
        </w:rPr>
        <w:t>The bins that were presented may contain two</w:t>
      </w:r>
      <w:r w:rsidR="00757C76">
        <w:rPr>
          <w:rFonts w:ascii="Arial" w:hAnsi="Arial" w:cs="Arial"/>
          <w:sz w:val="24"/>
          <w:szCs w:val="24"/>
        </w:rPr>
        <w:t>, four, or more</w:t>
      </w:r>
      <w:r w:rsidRPr="00757C76">
        <w:rPr>
          <w:rFonts w:ascii="Arial" w:hAnsi="Arial" w:cs="Arial"/>
          <w:sz w:val="24"/>
          <w:szCs w:val="24"/>
        </w:rPr>
        <w:t xml:space="preserve"> </w:t>
      </w:r>
      <w:r w:rsidR="00757C76" w:rsidRPr="00757C76">
        <w:rPr>
          <w:rFonts w:ascii="Arial" w:hAnsi="Arial" w:cs="Arial"/>
          <w:sz w:val="24"/>
          <w:szCs w:val="24"/>
        </w:rPr>
        <w:t>weeks</w:t>
      </w:r>
      <w:r w:rsidR="00757C76">
        <w:rPr>
          <w:rFonts w:ascii="Arial" w:hAnsi="Arial" w:cs="Arial"/>
          <w:sz w:val="24"/>
          <w:szCs w:val="24"/>
        </w:rPr>
        <w:t xml:space="preserve">’ worth of residual </w:t>
      </w:r>
      <w:r w:rsidRPr="00757C76">
        <w:rPr>
          <w:rFonts w:ascii="Arial" w:hAnsi="Arial" w:cs="Arial"/>
          <w:sz w:val="24"/>
          <w:szCs w:val="24"/>
        </w:rPr>
        <w:t>waste</w:t>
      </w:r>
      <w:r w:rsidR="00757C76">
        <w:rPr>
          <w:rFonts w:ascii="Arial" w:hAnsi="Arial" w:cs="Arial"/>
          <w:sz w:val="24"/>
          <w:szCs w:val="24"/>
        </w:rPr>
        <w:t xml:space="preserve"> or dry </w:t>
      </w:r>
      <w:r w:rsidRPr="00757C76">
        <w:rPr>
          <w:rFonts w:ascii="Arial" w:hAnsi="Arial" w:cs="Arial"/>
          <w:sz w:val="24"/>
          <w:szCs w:val="24"/>
        </w:rPr>
        <w:t>recyclin</w:t>
      </w:r>
      <w:r w:rsidR="00757C76">
        <w:rPr>
          <w:rFonts w:ascii="Arial" w:hAnsi="Arial" w:cs="Arial"/>
          <w:sz w:val="24"/>
          <w:szCs w:val="24"/>
        </w:rPr>
        <w:t>g materials</w:t>
      </w:r>
      <w:r w:rsidR="00B67C86">
        <w:rPr>
          <w:rFonts w:ascii="Arial" w:hAnsi="Arial" w:cs="Arial"/>
          <w:sz w:val="24"/>
          <w:szCs w:val="24"/>
        </w:rPr>
        <w:t>.</w:t>
      </w:r>
      <w:r w:rsidR="009E6E93">
        <w:rPr>
          <w:rFonts w:ascii="Arial" w:hAnsi="Arial" w:cs="Arial"/>
          <w:sz w:val="24"/>
          <w:szCs w:val="24"/>
        </w:rPr>
        <w:t xml:space="preserve"> This report assumes that each bin contains only two weeks’ worth of waste. </w:t>
      </w:r>
    </w:p>
    <w:p w14:paraId="0E61F86D" w14:textId="77777777" w:rsidR="004C1E4C" w:rsidRPr="00757C76" w:rsidRDefault="004C1E4C" w:rsidP="004C1E4C">
      <w:pPr>
        <w:pStyle w:val="ListParagraph"/>
        <w:rPr>
          <w:rFonts w:ascii="Arial" w:hAnsi="Arial" w:cs="Arial"/>
          <w:sz w:val="24"/>
          <w:szCs w:val="24"/>
        </w:rPr>
      </w:pPr>
    </w:p>
    <w:p w14:paraId="16FDF716" w14:textId="5A58A1D4" w:rsidR="002E4B5F" w:rsidRDefault="00554821" w:rsidP="00554821">
      <w:pPr>
        <w:rPr>
          <w:rFonts w:ascii="Arial" w:hAnsi="Arial" w:cs="Arial"/>
          <w:sz w:val="24"/>
          <w:szCs w:val="24"/>
        </w:rPr>
      </w:pPr>
      <w:r>
        <w:rPr>
          <w:rFonts w:ascii="Arial" w:hAnsi="Arial" w:cs="Arial"/>
          <w:sz w:val="24"/>
          <w:szCs w:val="24"/>
        </w:rPr>
        <w:t>*A bin that was recorded as over 100% full was either overflowing or had additional waste presented alongside</w:t>
      </w:r>
      <w:r w:rsidR="004C1E4C">
        <w:rPr>
          <w:rFonts w:ascii="Arial" w:hAnsi="Arial" w:cs="Arial"/>
          <w:sz w:val="24"/>
          <w:szCs w:val="24"/>
        </w:rPr>
        <w:t xml:space="preserve"> the bin. </w:t>
      </w:r>
    </w:p>
    <w:p w14:paraId="7DCC2532" w14:textId="0FE7CA80" w:rsidR="00652B71" w:rsidRPr="00554821" w:rsidRDefault="00B7111E" w:rsidP="00554821">
      <w:pPr>
        <w:rPr>
          <w:rFonts w:ascii="Arial" w:hAnsi="Arial" w:cs="Arial"/>
          <w:sz w:val="24"/>
          <w:szCs w:val="24"/>
        </w:rPr>
      </w:pPr>
      <w:r>
        <w:rPr>
          <w:rFonts w:ascii="Arial" w:hAnsi="Arial" w:cs="Arial"/>
          <w:sz w:val="24"/>
          <w:szCs w:val="24"/>
        </w:rPr>
        <w:t>*</w:t>
      </w:r>
      <w:r w:rsidR="00652B71">
        <w:rPr>
          <w:rFonts w:ascii="Arial" w:hAnsi="Arial" w:cs="Arial"/>
          <w:sz w:val="24"/>
          <w:szCs w:val="24"/>
        </w:rPr>
        <w:t>Percentages are rounded to the nearest whole number and therefore may not always add up to 100%.</w:t>
      </w:r>
    </w:p>
    <w:sectPr w:rsidR="00652B71" w:rsidRPr="005548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1C36"/>
    <w:multiLevelType w:val="hybridMultilevel"/>
    <w:tmpl w:val="DE005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6562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D84"/>
    <w:rsid w:val="0001043E"/>
    <w:rsid w:val="001614DB"/>
    <w:rsid w:val="0024165C"/>
    <w:rsid w:val="00265D84"/>
    <w:rsid w:val="00270A6B"/>
    <w:rsid w:val="002E4B26"/>
    <w:rsid w:val="002E4B5F"/>
    <w:rsid w:val="003665A1"/>
    <w:rsid w:val="0042414B"/>
    <w:rsid w:val="004479F4"/>
    <w:rsid w:val="004C1E4C"/>
    <w:rsid w:val="005326DB"/>
    <w:rsid w:val="00554821"/>
    <w:rsid w:val="00652B71"/>
    <w:rsid w:val="006C475F"/>
    <w:rsid w:val="006F7BE9"/>
    <w:rsid w:val="00757C76"/>
    <w:rsid w:val="007823FA"/>
    <w:rsid w:val="007C38B3"/>
    <w:rsid w:val="00813F84"/>
    <w:rsid w:val="00821262"/>
    <w:rsid w:val="008304B4"/>
    <w:rsid w:val="00841343"/>
    <w:rsid w:val="00881BA3"/>
    <w:rsid w:val="009E6E93"/>
    <w:rsid w:val="00A64B4F"/>
    <w:rsid w:val="00B04043"/>
    <w:rsid w:val="00B67C86"/>
    <w:rsid w:val="00B7111E"/>
    <w:rsid w:val="00BC675C"/>
    <w:rsid w:val="00C209F3"/>
    <w:rsid w:val="00C4146D"/>
    <w:rsid w:val="00D14913"/>
    <w:rsid w:val="00DD1777"/>
    <w:rsid w:val="00F74651"/>
    <w:rsid w:val="00F96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56A2A"/>
  <w15:chartTrackingRefBased/>
  <w15:docId w15:val="{C6E65213-613F-45CB-A285-818D5559F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C76"/>
    <w:pPr>
      <w:ind w:left="720"/>
      <w:contextualSpacing/>
    </w:pPr>
  </w:style>
  <w:style w:type="table" w:styleId="TableGrid">
    <w:name w:val="Table Grid"/>
    <w:basedOn w:val="TableNormal"/>
    <w:uiPriority w:val="39"/>
    <w:rsid w:val="00652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image" Target="media/image1.jpeg"/><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SAVVPSPFIL03\General\Housing%20and%20Environment\Waste%20service%20-%20new%20service%20design\Intelligence%20and%20information\General%20Research\Bin%20capacity%20audits%202023-24\Results\Bin%20Capacity%20Audit%20Resul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SAVVPSPFIL03\General\Housing%20and%20Environment\Waste%20service%20-%20new%20service%20design\Intelligence%20and%20information\General%20Research\Bin%20capacity%20audits%202023-24\Results\Bin%20Capacity%20Audit%20Resul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SAVVPSPFIL03\General\Housing%20and%20Environment\Waste%20service%20-%20new%20service%20design\Intelligence%20and%20information\General%20Research\Bin%20capacity%20audits%202023-24\Results\Bin%20Capacity%20Audit%20Resul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SAVVPSPFIL03\General\Housing%20and%20Environment\Waste%20service%20-%20new%20service%20design\Intelligence%20and%20information\General%20Research\Bin%20capacity%20audits%202023-24\Results\Bin%20Capacity%20Audit%20Resul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SAVVPSPFIL03\General\Housing%20and%20Environment\Waste%20service%20-%20new%20service%20design\Intelligence%20and%20information\General%20Research\Bin%20capacity%20audits%202023-24\Results\Bin%20Capacity%20Audit%20Result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SAVVPSPFIL03\General\Housing%20and%20Environment\Waste%20service%20-%20new%20service%20design\Intelligence%20and%20information\General%20Research\Bin%20capacity%20audits%202023-24\Results\Bin%20Capacity%20Audit%20Results.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GB" sz="1200" b="1">
                <a:solidFill>
                  <a:sysClr val="windowText" lastClr="000000"/>
                </a:solidFill>
                <a:latin typeface="Arial Black" panose="020B0A04020102020204" pitchFamily="34" charset="0"/>
              </a:rPr>
              <a:t>Figure 1: Residual waste - October</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1A1-4070-9BB8-DC32BFD8F8A9}"/>
              </c:ext>
            </c:extLst>
          </c:dPt>
          <c:dPt>
            <c:idx val="1"/>
            <c:bubble3D val="0"/>
            <c:spPr>
              <a:solidFill>
                <a:srgbClr val="C00000"/>
              </a:solidFill>
              <a:ln w="19050">
                <a:solidFill>
                  <a:schemeClr val="lt1"/>
                </a:solidFill>
              </a:ln>
              <a:effectLst/>
            </c:spPr>
            <c:extLst>
              <c:ext xmlns:c16="http://schemas.microsoft.com/office/drawing/2014/chart" uri="{C3380CC4-5D6E-409C-BE32-E72D297353CC}">
                <c16:uniqueId val="{00000003-A1A1-4070-9BB8-DC32BFD8F8A9}"/>
              </c:ext>
            </c:extLst>
          </c:dPt>
          <c:dPt>
            <c:idx val="2"/>
            <c:bubble3D val="0"/>
            <c:spPr>
              <a:solidFill>
                <a:schemeClr val="accent2">
                  <a:lumMod val="75000"/>
                </a:schemeClr>
              </a:solidFill>
              <a:ln w="19050">
                <a:solidFill>
                  <a:schemeClr val="lt1"/>
                </a:solidFill>
              </a:ln>
              <a:effectLst/>
            </c:spPr>
            <c:extLst>
              <c:ext xmlns:c16="http://schemas.microsoft.com/office/drawing/2014/chart" uri="{C3380CC4-5D6E-409C-BE32-E72D297353CC}">
                <c16:uniqueId val="{00000005-A1A1-4070-9BB8-DC32BFD8F8A9}"/>
              </c:ext>
            </c:extLst>
          </c:dPt>
          <c:dPt>
            <c:idx val="3"/>
            <c:bubble3D val="0"/>
            <c:spPr>
              <a:solidFill>
                <a:srgbClr val="FFC000"/>
              </a:solidFill>
              <a:ln w="19050">
                <a:solidFill>
                  <a:schemeClr val="lt1"/>
                </a:solidFill>
              </a:ln>
              <a:effectLst/>
            </c:spPr>
            <c:extLst>
              <c:ext xmlns:c16="http://schemas.microsoft.com/office/drawing/2014/chart" uri="{C3380CC4-5D6E-409C-BE32-E72D297353CC}">
                <c16:uniqueId val="{00000007-A1A1-4070-9BB8-DC32BFD8F8A9}"/>
              </c:ext>
            </c:extLst>
          </c:dPt>
          <c:dPt>
            <c:idx val="4"/>
            <c:bubble3D val="0"/>
            <c:spPr>
              <a:solidFill>
                <a:srgbClr val="92D050"/>
              </a:solidFill>
              <a:ln w="19050">
                <a:solidFill>
                  <a:schemeClr val="lt1"/>
                </a:solidFill>
              </a:ln>
              <a:effectLst/>
            </c:spPr>
            <c:extLst>
              <c:ext xmlns:c16="http://schemas.microsoft.com/office/drawing/2014/chart" uri="{C3380CC4-5D6E-409C-BE32-E72D297353CC}">
                <c16:uniqueId val="{00000009-A1A1-4070-9BB8-DC32BFD8F8A9}"/>
              </c:ext>
            </c:extLst>
          </c:dPt>
          <c:dPt>
            <c:idx val="5"/>
            <c:bubble3D val="0"/>
            <c:spPr>
              <a:solidFill>
                <a:schemeClr val="bg1">
                  <a:lumMod val="75000"/>
                </a:schemeClr>
              </a:solidFill>
              <a:ln w="19050">
                <a:solidFill>
                  <a:schemeClr val="lt1"/>
                </a:solidFill>
              </a:ln>
              <a:effectLst/>
            </c:spPr>
            <c:extLst>
              <c:ext xmlns:c16="http://schemas.microsoft.com/office/drawing/2014/chart" uri="{C3380CC4-5D6E-409C-BE32-E72D297353CC}">
                <c16:uniqueId val="{0000000B-A1A1-4070-9BB8-DC32BFD8F8A9}"/>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Analysis!$A$24:$A$29</c:f>
              <c:strCache>
                <c:ptCount val="6"/>
                <c:pt idx="0">
                  <c:v>Over 100%</c:v>
                </c:pt>
                <c:pt idx="1">
                  <c:v>100%</c:v>
                </c:pt>
                <c:pt idx="2">
                  <c:v>75%</c:v>
                </c:pt>
                <c:pt idx="3">
                  <c:v>50%</c:v>
                </c:pt>
                <c:pt idx="4">
                  <c:v>25%</c:v>
                </c:pt>
                <c:pt idx="5">
                  <c:v>No bin presented</c:v>
                </c:pt>
              </c:strCache>
            </c:strRef>
          </c:cat>
          <c:val>
            <c:numRef>
              <c:f>Analysis!$C$24:$C$29</c:f>
              <c:numCache>
                <c:formatCode>0%</c:formatCode>
                <c:ptCount val="6"/>
                <c:pt idx="0">
                  <c:v>2.4276377217553689E-2</c:v>
                </c:pt>
                <c:pt idx="1">
                  <c:v>0.2735760971055089</c:v>
                </c:pt>
                <c:pt idx="2">
                  <c:v>0.17273576097105509</c:v>
                </c:pt>
                <c:pt idx="3">
                  <c:v>0.16246498599439776</c:v>
                </c:pt>
                <c:pt idx="4">
                  <c:v>0.15686274509803921</c:v>
                </c:pt>
                <c:pt idx="5">
                  <c:v>0.21008403361344538</c:v>
                </c:pt>
              </c:numCache>
            </c:numRef>
          </c:val>
          <c:extLst>
            <c:ext xmlns:c16="http://schemas.microsoft.com/office/drawing/2014/chart" uri="{C3380CC4-5D6E-409C-BE32-E72D297353CC}">
              <c16:uniqueId val="{0000000C-A1A1-4070-9BB8-DC32BFD8F8A9}"/>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GB" sz="1200">
                <a:solidFill>
                  <a:sysClr val="windowText" lastClr="000000"/>
                </a:solidFill>
                <a:latin typeface="Arial Black" panose="020B0A04020102020204" pitchFamily="34" charset="0"/>
              </a:rPr>
              <a:t>Figure 2: Residual waste</a:t>
            </a:r>
            <a:r>
              <a:rPr lang="en-GB" sz="1200" baseline="0">
                <a:solidFill>
                  <a:sysClr val="windowText" lastClr="000000"/>
                </a:solidFill>
                <a:latin typeface="Arial Black" panose="020B0A04020102020204" pitchFamily="34" charset="0"/>
              </a:rPr>
              <a:t> - January</a:t>
            </a:r>
            <a:endParaRPr lang="en-GB" sz="1200">
              <a:solidFill>
                <a:sysClr val="windowText" lastClr="000000"/>
              </a:solidFill>
              <a:latin typeface="Arial Black" panose="020B0A040201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004-4514-BAAB-C81BF43D0E45}"/>
              </c:ext>
            </c:extLst>
          </c:dPt>
          <c:dPt>
            <c:idx val="1"/>
            <c:bubble3D val="0"/>
            <c:spPr>
              <a:solidFill>
                <a:srgbClr val="C00000"/>
              </a:solidFill>
              <a:ln w="19050">
                <a:solidFill>
                  <a:schemeClr val="lt1"/>
                </a:solidFill>
              </a:ln>
              <a:effectLst/>
            </c:spPr>
            <c:extLst>
              <c:ext xmlns:c16="http://schemas.microsoft.com/office/drawing/2014/chart" uri="{C3380CC4-5D6E-409C-BE32-E72D297353CC}">
                <c16:uniqueId val="{00000003-2004-4514-BAAB-C81BF43D0E45}"/>
              </c:ext>
            </c:extLst>
          </c:dPt>
          <c:dPt>
            <c:idx val="2"/>
            <c:bubble3D val="0"/>
            <c:spPr>
              <a:solidFill>
                <a:schemeClr val="accent2">
                  <a:lumMod val="75000"/>
                </a:schemeClr>
              </a:solidFill>
              <a:ln w="19050">
                <a:solidFill>
                  <a:schemeClr val="lt1"/>
                </a:solidFill>
              </a:ln>
              <a:effectLst/>
            </c:spPr>
            <c:extLst>
              <c:ext xmlns:c16="http://schemas.microsoft.com/office/drawing/2014/chart" uri="{C3380CC4-5D6E-409C-BE32-E72D297353CC}">
                <c16:uniqueId val="{00000005-2004-4514-BAAB-C81BF43D0E45}"/>
              </c:ext>
            </c:extLst>
          </c:dPt>
          <c:dPt>
            <c:idx val="3"/>
            <c:bubble3D val="0"/>
            <c:spPr>
              <a:solidFill>
                <a:srgbClr val="FFC000"/>
              </a:solidFill>
              <a:ln w="19050">
                <a:solidFill>
                  <a:schemeClr val="lt1"/>
                </a:solidFill>
              </a:ln>
              <a:effectLst/>
            </c:spPr>
            <c:extLst>
              <c:ext xmlns:c16="http://schemas.microsoft.com/office/drawing/2014/chart" uri="{C3380CC4-5D6E-409C-BE32-E72D297353CC}">
                <c16:uniqueId val="{00000007-2004-4514-BAAB-C81BF43D0E45}"/>
              </c:ext>
            </c:extLst>
          </c:dPt>
          <c:dPt>
            <c:idx val="4"/>
            <c:bubble3D val="0"/>
            <c:spPr>
              <a:solidFill>
                <a:srgbClr val="92D050"/>
              </a:solidFill>
              <a:ln w="19050">
                <a:solidFill>
                  <a:schemeClr val="lt1"/>
                </a:solidFill>
              </a:ln>
              <a:effectLst/>
            </c:spPr>
            <c:extLst>
              <c:ext xmlns:c16="http://schemas.microsoft.com/office/drawing/2014/chart" uri="{C3380CC4-5D6E-409C-BE32-E72D297353CC}">
                <c16:uniqueId val="{00000009-2004-4514-BAAB-C81BF43D0E45}"/>
              </c:ext>
            </c:extLst>
          </c:dPt>
          <c:dPt>
            <c:idx val="5"/>
            <c:bubble3D val="0"/>
            <c:spPr>
              <a:solidFill>
                <a:schemeClr val="bg1">
                  <a:lumMod val="75000"/>
                </a:schemeClr>
              </a:solidFill>
              <a:ln w="19050">
                <a:solidFill>
                  <a:schemeClr val="lt1"/>
                </a:solidFill>
              </a:ln>
              <a:effectLst/>
            </c:spPr>
            <c:extLst>
              <c:ext xmlns:c16="http://schemas.microsoft.com/office/drawing/2014/chart" uri="{C3380CC4-5D6E-409C-BE32-E72D297353CC}">
                <c16:uniqueId val="{0000000B-2004-4514-BAAB-C81BF43D0E45}"/>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'Analysis - Jan only'!$A$24:$A$29</c:f>
              <c:strCache>
                <c:ptCount val="6"/>
                <c:pt idx="0">
                  <c:v>Over 100%</c:v>
                </c:pt>
                <c:pt idx="1">
                  <c:v>100%</c:v>
                </c:pt>
                <c:pt idx="2">
                  <c:v>75%</c:v>
                </c:pt>
                <c:pt idx="3">
                  <c:v>50%</c:v>
                </c:pt>
                <c:pt idx="4">
                  <c:v>25%</c:v>
                </c:pt>
                <c:pt idx="5">
                  <c:v>No bin presented</c:v>
                </c:pt>
              </c:strCache>
            </c:strRef>
          </c:cat>
          <c:val>
            <c:numRef>
              <c:f>'Analysis - Jan only'!$C$24:$C$29</c:f>
              <c:numCache>
                <c:formatCode>0%</c:formatCode>
                <c:ptCount val="6"/>
                <c:pt idx="0">
                  <c:v>2.6192703461178673E-2</c:v>
                </c:pt>
                <c:pt idx="1">
                  <c:v>0.26660430308699717</c:v>
                </c:pt>
                <c:pt idx="2">
                  <c:v>0.16089803554724041</c:v>
                </c:pt>
                <c:pt idx="3">
                  <c:v>0.16557530402245088</c:v>
                </c:pt>
                <c:pt idx="4">
                  <c:v>0.12815715622076707</c:v>
                </c:pt>
                <c:pt idx="5">
                  <c:v>0.25257249766136575</c:v>
                </c:pt>
              </c:numCache>
            </c:numRef>
          </c:val>
          <c:extLst>
            <c:ext xmlns:c16="http://schemas.microsoft.com/office/drawing/2014/chart" uri="{C3380CC4-5D6E-409C-BE32-E72D297353CC}">
              <c16:uniqueId val="{0000000C-2004-4514-BAAB-C81BF43D0E4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Arial Black" panose="020B0A04020102020204" pitchFamily="34" charset="0"/>
                <a:ea typeface="+mn-ea"/>
                <a:cs typeface="+mn-cs"/>
              </a:defRPr>
            </a:pPr>
            <a:r>
              <a:rPr lang="en-GB" sz="1200">
                <a:latin typeface="Arial Black" panose="020B0A04020102020204" pitchFamily="34" charset="0"/>
              </a:rPr>
              <a:t>Figure 3: Residual</a:t>
            </a:r>
            <a:r>
              <a:rPr lang="en-GB" sz="1200" baseline="0">
                <a:latin typeface="Arial Black" panose="020B0A04020102020204" pitchFamily="34" charset="0"/>
              </a:rPr>
              <a:t> - January Week 1</a:t>
            </a:r>
            <a:endParaRPr lang="en-GB" sz="1200">
              <a:latin typeface="Arial Black" panose="020B0A04020102020204" pitchFamily="34"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Arial Black" panose="020B0A04020102020204" pitchFamily="34" charset="0"/>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1B7-47F0-9DA8-8526331507D3}"/>
              </c:ext>
            </c:extLst>
          </c:dPt>
          <c:dPt>
            <c:idx val="1"/>
            <c:bubble3D val="0"/>
            <c:spPr>
              <a:solidFill>
                <a:srgbClr val="C00000"/>
              </a:solidFill>
              <a:ln w="19050">
                <a:solidFill>
                  <a:schemeClr val="lt1"/>
                </a:solidFill>
              </a:ln>
              <a:effectLst/>
            </c:spPr>
            <c:extLst>
              <c:ext xmlns:c16="http://schemas.microsoft.com/office/drawing/2014/chart" uri="{C3380CC4-5D6E-409C-BE32-E72D297353CC}">
                <c16:uniqueId val="{00000003-21B7-47F0-9DA8-8526331507D3}"/>
              </c:ext>
            </c:extLst>
          </c:dPt>
          <c:dPt>
            <c:idx val="2"/>
            <c:bubble3D val="0"/>
            <c:spPr>
              <a:solidFill>
                <a:schemeClr val="accent2">
                  <a:lumMod val="75000"/>
                </a:schemeClr>
              </a:solidFill>
              <a:ln w="19050">
                <a:solidFill>
                  <a:schemeClr val="lt1"/>
                </a:solidFill>
              </a:ln>
              <a:effectLst/>
            </c:spPr>
            <c:extLst>
              <c:ext xmlns:c16="http://schemas.microsoft.com/office/drawing/2014/chart" uri="{C3380CC4-5D6E-409C-BE32-E72D297353CC}">
                <c16:uniqueId val="{00000005-21B7-47F0-9DA8-8526331507D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1B7-47F0-9DA8-8526331507D3}"/>
              </c:ext>
            </c:extLst>
          </c:dPt>
          <c:dPt>
            <c:idx val="4"/>
            <c:bubble3D val="0"/>
            <c:spPr>
              <a:solidFill>
                <a:schemeClr val="accent6"/>
              </a:solidFill>
              <a:ln w="19050">
                <a:solidFill>
                  <a:schemeClr val="lt1"/>
                </a:solidFill>
              </a:ln>
              <a:effectLst/>
            </c:spPr>
            <c:extLst>
              <c:ext xmlns:c16="http://schemas.microsoft.com/office/drawing/2014/chart" uri="{C3380CC4-5D6E-409C-BE32-E72D297353CC}">
                <c16:uniqueId val="{00000009-21B7-47F0-9DA8-8526331507D3}"/>
              </c:ext>
            </c:extLst>
          </c:dPt>
          <c:dPt>
            <c:idx val="5"/>
            <c:bubble3D val="0"/>
            <c:spPr>
              <a:solidFill>
                <a:schemeClr val="bg1">
                  <a:lumMod val="75000"/>
                </a:schemeClr>
              </a:solidFill>
              <a:ln w="19050">
                <a:solidFill>
                  <a:schemeClr val="lt1"/>
                </a:solidFill>
              </a:ln>
              <a:effectLst/>
            </c:spPr>
            <c:extLst>
              <c:ext xmlns:c16="http://schemas.microsoft.com/office/drawing/2014/chart" uri="{C3380CC4-5D6E-409C-BE32-E72D297353CC}">
                <c16:uniqueId val="{0000000B-21B7-47F0-9DA8-8526331507D3}"/>
              </c:ext>
            </c:extLst>
          </c:dPt>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'Analysis Jan split by week'!$A$16:$A$21</c:f>
              <c:strCache>
                <c:ptCount val="6"/>
                <c:pt idx="0">
                  <c:v>Over 100%</c:v>
                </c:pt>
                <c:pt idx="1">
                  <c:v>100%</c:v>
                </c:pt>
                <c:pt idx="2">
                  <c:v>75%</c:v>
                </c:pt>
                <c:pt idx="3">
                  <c:v>50%</c:v>
                </c:pt>
                <c:pt idx="4">
                  <c:v>25%</c:v>
                </c:pt>
                <c:pt idx="5">
                  <c:v>No bin presented</c:v>
                </c:pt>
              </c:strCache>
            </c:strRef>
          </c:cat>
          <c:val>
            <c:numRef>
              <c:f>'Analysis Jan split by week'!$C$16:$C$21</c:f>
              <c:numCache>
                <c:formatCode>0%</c:formatCode>
                <c:ptCount val="6"/>
                <c:pt idx="0">
                  <c:v>2.9109589041095889E-2</c:v>
                </c:pt>
                <c:pt idx="1">
                  <c:v>0.26027397260273971</c:v>
                </c:pt>
                <c:pt idx="2">
                  <c:v>0.14897260273972604</c:v>
                </c:pt>
                <c:pt idx="3">
                  <c:v>0.1678082191780822</c:v>
                </c:pt>
                <c:pt idx="4">
                  <c:v>0.11643835616438356</c:v>
                </c:pt>
                <c:pt idx="5">
                  <c:v>0.2773972602739726</c:v>
                </c:pt>
              </c:numCache>
            </c:numRef>
          </c:val>
          <c:extLst>
            <c:ext xmlns:c16="http://schemas.microsoft.com/office/drawing/2014/chart" uri="{C3380CC4-5D6E-409C-BE32-E72D297353CC}">
              <c16:uniqueId val="{0000000C-21B7-47F0-9DA8-8526331507D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chemeClr val="tx1"/>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200">
                <a:solidFill>
                  <a:sysClr val="windowText" lastClr="000000"/>
                </a:solidFill>
                <a:latin typeface="Arial Black" panose="020B0A04020102020204" pitchFamily="34" charset="0"/>
                <a:cs typeface="Arial" panose="020B0604020202020204" pitchFamily="34" charset="0"/>
              </a:rPr>
              <a:t>Figure 4:</a:t>
            </a:r>
            <a:r>
              <a:rPr lang="en-GB" sz="1200" baseline="0">
                <a:solidFill>
                  <a:sysClr val="windowText" lastClr="000000"/>
                </a:solidFill>
                <a:latin typeface="Arial Black" panose="020B0A04020102020204" pitchFamily="34" charset="0"/>
                <a:cs typeface="Arial" panose="020B0604020202020204" pitchFamily="34" charset="0"/>
              </a:rPr>
              <a:t> </a:t>
            </a:r>
            <a:r>
              <a:rPr lang="en-GB" sz="1200">
                <a:solidFill>
                  <a:sysClr val="windowText" lastClr="000000"/>
                </a:solidFill>
                <a:latin typeface="Arial Black" panose="020B0A04020102020204" pitchFamily="34" charset="0"/>
                <a:cs typeface="Arial" panose="020B0604020202020204" pitchFamily="34" charset="0"/>
              </a:rPr>
              <a:t>Dry recycling - October</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B7B-43F9-AD80-B21AAAE0B7E9}"/>
              </c:ext>
            </c:extLst>
          </c:dPt>
          <c:dPt>
            <c:idx val="1"/>
            <c:bubble3D val="0"/>
            <c:spPr>
              <a:solidFill>
                <a:srgbClr val="C00000"/>
              </a:solidFill>
              <a:ln w="19050">
                <a:solidFill>
                  <a:schemeClr val="lt1"/>
                </a:solidFill>
              </a:ln>
              <a:effectLst/>
            </c:spPr>
            <c:extLst>
              <c:ext xmlns:c16="http://schemas.microsoft.com/office/drawing/2014/chart" uri="{C3380CC4-5D6E-409C-BE32-E72D297353CC}">
                <c16:uniqueId val="{00000003-3B7B-43F9-AD80-B21AAAE0B7E9}"/>
              </c:ext>
            </c:extLst>
          </c:dPt>
          <c:dPt>
            <c:idx val="2"/>
            <c:bubble3D val="0"/>
            <c:spPr>
              <a:solidFill>
                <a:schemeClr val="accent2">
                  <a:lumMod val="75000"/>
                </a:schemeClr>
              </a:solidFill>
              <a:ln w="19050">
                <a:solidFill>
                  <a:schemeClr val="lt1"/>
                </a:solidFill>
              </a:ln>
              <a:effectLst/>
            </c:spPr>
            <c:extLst>
              <c:ext xmlns:c16="http://schemas.microsoft.com/office/drawing/2014/chart" uri="{C3380CC4-5D6E-409C-BE32-E72D297353CC}">
                <c16:uniqueId val="{00000005-3B7B-43F9-AD80-B21AAAE0B7E9}"/>
              </c:ext>
            </c:extLst>
          </c:dPt>
          <c:dPt>
            <c:idx val="3"/>
            <c:bubble3D val="0"/>
            <c:spPr>
              <a:solidFill>
                <a:srgbClr val="FFC000"/>
              </a:solidFill>
              <a:ln w="19050">
                <a:solidFill>
                  <a:schemeClr val="lt1"/>
                </a:solidFill>
              </a:ln>
              <a:effectLst/>
            </c:spPr>
            <c:extLst>
              <c:ext xmlns:c16="http://schemas.microsoft.com/office/drawing/2014/chart" uri="{C3380CC4-5D6E-409C-BE32-E72D297353CC}">
                <c16:uniqueId val="{00000007-3B7B-43F9-AD80-B21AAAE0B7E9}"/>
              </c:ext>
            </c:extLst>
          </c:dPt>
          <c:dPt>
            <c:idx val="4"/>
            <c:bubble3D val="0"/>
            <c:spPr>
              <a:solidFill>
                <a:srgbClr val="92D050"/>
              </a:solidFill>
              <a:ln w="19050">
                <a:solidFill>
                  <a:schemeClr val="lt1"/>
                </a:solidFill>
              </a:ln>
              <a:effectLst/>
            </c:spPr>
            <c:extLst>
              <c:ext xmlns:c16="http://schemas.microsoft.com/office/drawing/2014/chart" uri="{C3380CC4-5D6E-409C-BE32-E72D297353CC}">
                <c16:uniqueId val="{00000009-3B7B-43F9-AD80-B21AAAE0B7E9}"/>
              </c:ext>
            </c:extLst>
          </c:dPt>
          <c:dPt>
            <c:idx val="5"/>
            <c:bubble3D val="0"/>
            <c:spPr>
              <a:solidFill>
                <a:schemeClr val="bg1">
                  <a:lumMod val="75000"/>
                </a:schemeClr>
              </a:solidFill>
              <a:ln w="19050">
                <a:solidFill>
                  <a:schemeClr val="lt1"/>
                </a:solidFill>
              </a:ln>
              <a:effectLst/>
            </c:spPr>
            <c:extLst>
              <c:ext xmlns:c16="http://schemas.microsoft.com/office/drawing/2014/chart" uri="{C3380CC4-5D6E-409C-BE32-E72D297353CC}">
                <c16:uniqueId val="{0000000B-3B7B-43F9-AD80-B21AAAE0B7E9}"/>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Analysis!$A$4:$A$9</c:f>
              <c:strCache>
                <c:ptCount val="6"/>
                <c:pt idx="0">
                  <c:v>Over 100%</c:v>
                </c:pt>
                <c:pt idx="1">
                  <c:v>100%</c:v>
                </c:pt>
                <c:pt idx="2">
                  <c:v>75%</c:v>
                </c:pt>
                <c:pt idx="3">
                  <c:v>50%</c:v>
                </c:pt>
                <c:pt idx="4">
                  <c:v>25%</c:v>
                </c:pt>
                <c:pt idx="5">
                  <c:v>No bin presented</c:v>
                </c:pt>
              </c:strCache>
            </c:strRef>
          </c:cat>
          <c:val>
            <c:numRef>
              <c:f>Analysis!$C$4:$C$9</c:f>
              <c:numCache>
                <c:formatCode>0%</c:formatCode>
                <c:ptCount val="6"/>
                <c:pt idx="0">
                  <c:v>8.4967320261437912E-2</c:v>
                </c:pt>
                <c:pt idx="1">
                  <c:v>0.31465919701213818</c:v>
                </c:pt>
                <c:pt idx="2">
                  <c:v>0.17740429505135388</c:v>
                </c:pt>
                <c:pt idx="3">
                  <c:v>0.15032679738562091</c:v>
                </c:pt>
                <c:pt idx="4">
                  <c:v>0.10830999066293184</c:v>
                </c:pt>
                <c:pt idx="5">
                  <c:v>0.16433239962651727</c:v>
                </c:pt>
              </c:numCache>
            </c:numRef>
          </c:val>
          <c:extLst>
            <c:ext xmlns:c16="http://schemas.microsoft.com/office/drawing/2014/chart" uri="{C3380CC4-5D6E-409C-BE32-E72D297353CC}">
              <c16:uniqueId val="{0000000C-3B7B-43F9-AD80-B21AAAE0B7E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GB" sz="1200">
                <a:solidFill>
                  <a:sysClr val="windowText" lastClr="000000"/>
                </a:solidFill>
                <a:latin typeface="Arial Black" panose="020B0A04020102020204" pitchFamily="34" charset="0"/>
              </a:rPr>
              <a:t>Figure 5: Dry recycling -</a:t>
            </a:r>
            <a:r>
              <a:rPr lang="en-GB" sz="1200" baseline="0">
                <a:solidFill>
                  <a:sysClr val="windowText" lastClr="000000"/>
                </a:solidFill>
                <a:latin typeface="Arial Black" panose="020B0A04020102020204" pitchFamily="34" charset="0"/>
              </a:rPr>
              <a:t> January</a:t>
            </a:r>
            <a:endParaRPr lang="en-GB" sz="1200">
              <a:solidFill>
                <a:sysClr val="windowText" lastClr="000000"/>
              </a:solidFill>
              <a:latin typeface="Arial Black" panose="020B0A040201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1B7-43D7-8175-DCDCB1E33A70}"/>
              </c:ext>
            </c:extLst>
          </c:dPt>
          <c:dPt>
            <c:idx val="1"/>
            <c:bubble3D val="0"/>
            <c:spPr>
              <a:solidFill>
                <a:srgbClr val="C00000"/>
              </a:solidFill>
              <a:ln w="19050">
                <a:solidFill>
                  <a:schemeClr val="lt1"/>
                </a:solidFill>
              </a:ln>
              <a:effectLst/>
            </c:spPr>
            <c:extLst>
              <c:ext xmlns:c16="http://schemas.microsoft.com/office/drawing/2014/chart" uri="{C3380CC4-5D6E-409C-BE32-E72D297353CC}">
                <c16:uniqueId val="{00000003-71B7-43D7-8175-DCDCB1E33A70}"/>
              </c:ext>
            </c:extLst>
          </c:dPt>
          <c:dPt>
            <c:idx val="2"/>
            <c:bubble3D val="0"/>
            <c:spPr>
              <a:solidFill>
                <a:schemeClr val="accent2">
                  <a:lumMod val="75000"/>
                </a:schemeClr>
              </a:solidFill>
              <a:ln w="19050">
                <a:solidFill>
                  <a:schemeClr val="lt1"/>
                </a:solidFill>
              </a:ln>
              <a:effectLst/>
            </c:spPr>
            <c:extLst>
              <c:ext xmlns:c16="http://schemas.microsoft.com/office/drawing/2014/chart" uri="{C3380CC4-5D6E-409C-BE32-E72D297353CC}">
                <c16:uniqueId val="{00000005-71B7-43D7-8175-DCDCB1E33A70}"/>
              </c:ext>
            </c:extLst>
          </c:dPt>
          <c:dPt>
            <c:idx val="3"/>
            <c:bubble3D val="0"/>
            <c:spPr>
              <a:solidFill>
                <a:srgbClr val="FFC000"/>
              </a:solidFill>
              <a:ln w="19050">
                <a:solidFill>
                  <a:schemeClr val="lt1"/>
                </a:solidFill>
              </a:ln>
              <a:effectLst/>
            </c:spPr>
            <c:extLst>
              <c:ext xmlns:c16="http://schemas.microsoft.com/office/drawing/2014/chart" uri="{C3380CC4-5D6E-409C-BE32-E72D297353CC}">
                <c16:uniqueId val="{00000007-71B7-43D7-8175-DCDCB1E33A70}"/>
              </c:ext>
            </c:extLst>
          </c:dPt>
          <c:dPt>
            <c:idx val="4"/>
            <c:bubble3D val="0"/>
            <c:spPr>
              <a:solidFill>
                <a:srgbClr val="92D050"/>
              </a:solidFill>
              <a:ln w="19050">
                <a:solidFill>
                  <a:schemeClr val="lt1"/>
                </a:solidFill>
              </a:ln>
              <a:effectLst/>
            </c:spPr>
            <c:extLst>
              <c:ext xmlns:c16="http://schemas.microsoft.com/office/drawing/2014/chart" uri="{C3380CC4-5D6E-409C-BE32-E72D297353CC}">
                <c16:uniqueId val="{00000009-71B7-43D7-8175-DCDCB1E33A70}"/>
              </c:ext>
            </c:extLst>
          </c:dPt>
          <c:dPt>
            <c:idx val="5"/>
            <c:bubble3D val="0"/>
            <c:spPr>
              <a:solidFill>
                <a:schemeClr val="bg1">
                  <a:lumMod val="75000"/>
                </a:schemeClr>
              </a:solidFill>
              <a:ln w="19050">
                <a:solidFill>
                  <a:schemeClr val="lt1"/>
                </a:solidFill>
              </a:ln>
              <a:effectLst/>
            </c:spPr>
            <c:extLst>
              <c:ext xmlns:c16="http://schemas.microsoft.com/office/drawing/2014/chart" uri="{C3380CC4-5D6E-409C-BE32-E72D297353CC}">
                <c16:uniqueId val="{0000000B-71B7-43D7-8175-DCDCB1E33A70}"/>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'Analysis - Jan only'!$A$4:$A$9</c:f>
              <c:strCache>
                <c:ptCount val="6"/>
                <c:pt idx="0">
                  <c:v>Over 100%</c:v>
                </c:pt>
                <c:pt idx="1">
                  <c:v>100%</c:v>
                </c:pt>
                <c:pt idx="2">
                  <c:v>75%</c:v>
                </c:pt>
                <c:pt idx="3">
                  <c:v>50%</c:v>
                </c:pt>
                <c:pt idx="4">
                  <c:v>25%</c:v>
                </c:pt>
                <c:pt idx="5">
                  <c:v>No bin presented</c:v>
                </c:pt>
              </c:strCache>
            </c:strRef>
          </c:cat>
          <c:val>
            <c:numRef>
              <c:f>'Analysis - Jan only'!$C$4:$C$9</c:f>
              <c:numCache>
                <c:formatCode>0%</c:formatCode>
                <c:ptCount val="6"/>
                <c:pt idx="0">
                  <c:v>0.1102803738317757</c:v>
                </c:pt>
                <c:pt idx="1">
                  <c:v>0.28785046728971964</c:v>
                </c:pt>
                <c:pt idx="2">
                  <c:v>0.17757009345794392</c:v>
                </c:pt>
                <c:pt idx="3">
                  <c:v>0.12242990654205607</c:v>
                </c:pt>
                <c:pt idx="4">
                  <c:v>7.476635514018691E-2</c:v>
                </c:pt>
                <c:pt idx="5">
                  <c:v>0.22710280373831776</c:v>
                </c:pt>
              </c:numCache>
            </c:numRef>
          </c:val>
          <c:extLst>
            <c:ext xmlns:c16="http://schemas.microsoft.com/office/drawing/2014/chart" uri="{C3380CC4-5D6E-409C-BE32-E72D297353CC}">
              <c16:uniqueId val="{0000000C-71B7-43D7-8175-DCDCB1E33A7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Arial Black" panose="020B0A04020102020204" pitchFamily="34" charset="0"/>
                <a:ea typeface="+mn-ea"/>
                <a:cs typeface="+mn-cs"/>
              </a:defRPr>
            </a:pPr>
            <a:r>
              <a:rPr lang="en-GB" sz="1200">
                <a:latin typeface="Arial Black" panose="020B0A04020102020204" pitchFamily="34" charset="0"/>
              </a:rPr>
              <a:t>Figure 6:</a:t>
            </a:r>
            <a:r>
              <a:rPr lang="en-GB" sz="1200" baseline="0">
                <a:latin typeface="Arial Black" panose="020B0A04020102020204" pitchFamily="34" charset="0"/>
              </a:rPr>
              <a:t> Dry r</a:t>
            </a:r>
            <a:r>
              <a:rPr lang="en-GB" sz="1200">
                <a:latin typeface="Arial Black" panose="020B0A04020102020204" pitchFamily="34" charset="0"/>
              </a:rPr>
              <a:t>ecycling - January Week 1</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Arial Black" panose="020B0A04020102020204" pitchFamily="34" charset="0"/>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7AD-4205-AF54-53731A295EC1}"/>
              </c:ext>
            </c:extLst>
          </c:dPt>
          <c:dPt>
            <c:idx val="1"/>
            <c:bubble3D val="0"/>
            <c:spPr>
              <a:solidFill>
                <a:srgbClr val="C00000"/>
              </a:solidFill>
              <a:ln w="19050">
                <a:solidFill>
                  <a:schemeClr val="lt1"/>
                </a:solidFill>
              </a:ln>
              <a:effectLst/>
            </c:spPr>
            <c:extLst>
              <c:ext xmlns:c16="http://schemas.microsoft.com/office/drawing/2014/chart" uri="{C3380CC4-5D6E-409C-BE32-E72D297353CC}">
                <c16:uniqueId val="{00000003-87AD-4205-AF54-53731A295EC1}"/>
              </c:ext>
            </c:extLst>
          </c:dPt>
          <c:dPt>
            <c:idx val="2"/>
            <c:bubble3D val="0"/>
            <c:spPr>
              <a:solidFill>
                <a:schemeClr val="accent2">
                  <a:lumMod val="75000"/>
                </a:schemeClr>
              </a:solidFill>
              <a:ln w="19050">
                <a:solidFill>
                  <a:schemeClr val="lt1"/>
                </a:solidFill>
              </a:ln>
              <a:effectLst/>
            </c:spPr>
            <c:extLst>
              <c:ext xmlns:c16="http://schemas.microsoft.com/office/drawing/2014/chart" uri="{C3380CC4-5D6E-409C-BE32-E72D297353CC}">
                <c16:uniqueId val="{00000005-87AD-4205-AF54-53731A295EC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7AD-4205-AF54-53731A295EC1}"/>
              </c:ext>
            </c:extLst>
          </c:dPt>
          <c:dPt>
            <c:idx val="4"/>
            <c:bubble3D val="0"/>
            <c:spPr>
              <a:solidFill>
                <a:schemeClr val="accent6"/>
              </a:solidFill>
              <a:ln w="19050">
                <a:solidFill>
                  <a:schemeClr val="lt1"/>
                </a:solidFill>
              </a:ln>
              <a:effectLst/>
            </c:spPr>
            <c:extLst>
              <c:ext xmlns:c16="http://schemas.microsoft.com/office/drawing/2014/chart" uri="{C3380CC4-5D6E-409C-BE32-E72D297353CC}">
                <c16:uniqueId val="{00000009-87AD-4205-AF54-53731A295EC1}"/>
              </c:ext>
            </c:extLst>
          </c:dPt>
          <c:dPt>
            <c:idx val="5"/>
            <c:bubble3D val="0"/>
            <c:spPr>
              <a:solidFill>
                <a:schemeClr val="bg1">
                  <a:lumMod val="75000"/>
                </a:schemeClr>
              </a:solidFill>
              <a:ln w="19050">
                <a:solidFill>
                  <a:schemeClr val="lt1"/>
                </a:solidFill>
              </a:ln>
              <a:effectLst/>
            </c:spPr>
            <c:extLst>
              <c:ext xmlns:c16="http://schemas.microsoft.com/office/drawing/2014/chart" uri="{C3380CC4-5D6E-409C-BE32-E72D297353CC}">
                <c16:uniqueId val="{0000000B-87AD-4205-AF54-53731A295EC1}"/>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'Analysis Jan split by week'!$A$4:$A$9</c:f>
              <c:strCache>
                <c:ptCount val="6"/>
                <c:pt idx="0">
                  <c:v>Over 100%</c:v>
                </c:pt>
                <c:pt idx="1">
                  <c:v>100%</c:v>
                </c:pt>
                <c:pt idx="2">
                  <c:v>75%</c:v>
                </c:pt>
                <c:pt idx="3">
                  <c:v>50%</c:v>
                </c:pt>
                <c:pt idx="4">
                  <c:v>25%</c:v>
                </c:pt>
                <c:pt idx="5">
                  <c:v>No bin presented</c:v>
                </c:pt>
              </c:strCache>
            </c:strRef>
          </c:cat>
          <c:val>
            <c:numRef>
              <c:f>'Analysis Jan split by week'!$C$4:$C$9</c:f>
              <c:numCache>
                <c:formatCode>0%</c:formatCode>
                <c:ptCount val="6"/>
                <c:pt idx="0">
                  <c:v>0.15051546391752577</c:v>
                </c:pt>
                <c:pt idx="1">
                  <c:v>0.34226804123711341</c:v>
                </c:pt>
                <c:pt idx="2">
                  <c:v>0.16494845360824742</c:v>
                </c:pt>
                <c:pt idx="3">
                  <c:v>9.2783505154639179E-2</c:v>
                </c:pt>
                <c:pt idx="4">
                  <c:v>3.711340206185567E-2</c:v>
                </c:pt>
                <c:pt idx="5">
                  <c:v>0.21237113402061855</c:v>
                </c:pt>
              </c:numCache>
            </c:numRef>
          </c:val>
          <c:extLst>
            <c:ext xmlns:c16="http://schemas.microsoft.com/office/drawing/2014/chart" uri="{C3380CC4-5D6E-409C-BE32-E72D297353CC}">
              <c16:uniqueId val="{0000000C-87AD-4205-AF54-53731A295EC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Kennery</dc:creator>
  <cp:keywords/>
  <dc:description/>
  <cp:lastModifiedBy>Lucy Kennery</cp:lastModifiedBy>
  <cp:revision>3</cp:revision>
  <dcterms:created xsi:type="dcterms:W3CDTF">2024-01-23T08:56:00Z</dcterms:created>
  <dcterms:modified xsi:type="dcterms:W3CDTF">2024-04-26T11:25:00Z</dcterms:modified>
</cp:coreProperties>
</file>